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72" w:rsidRPr="00984EF9" w:rsidRDefault="005F5672" w:rsidP="005F5672">
      <w:pPr>
        <w:pStyle w:val="berschrift2"/>
        <w:numPr>
          <w:ilvl w:val="0"/>
          <w:numId w:val="0"/>
        </w:numPr>
      </w:pPr>
      <w:bookmarkStart w:id="0" w:name="_Toc427518718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6F4AA" wp14:editId="0A150B4E">
                <wp:simplePos x="0" y="0"/>
                <wp:positionH relativeFrom="column">
                  <wp:posOffset>8890</wp:posOffset>
                </wp:positionH>
                <wp:positionV relativeFrom="paragraph">
                  <wp:posOffset>580390</wp:posOffset>
                </wp:positionV>
                <wp:extent cx="5873115" cy="801370"/>
                <wp:effectExtent l="0" t="0" r="13335" b="17780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8013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5672" w:rsidRPr="00F31EBF" w:rsidRDefault="005F5672" w:rsidP="005F5672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Dieses Modell zeigt anschaulich </w:t>
                            </w:r>
                            <w:proofErr w:type="gramStart"/>
                            <w:r>
                              <w:rPr>
                                <w:color w:val="auto"/>
                              </w:rPr>
                              <w:t>das</w:t>
                            </w:r>
                            <w:proofErr w:type="gramEnd"/>
                            <w:r>
                              <w:rPr>
                                <w:color w:val="auto"/>
                              </w:rPr>
                              <w:t xml:space="preserve"> Oberflächen zu Volumen Verhältnis von Nanopartikeln. Durch dieses Modell wird den SuS verdeutlicht, dass die Oberfläche eines Gegenstands größer wird, je kleiner sein Volumen 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.7pt;margin-top:45.7pt;width:462.45pt;height:6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" fillcolor="white [3201]" strokecolor="#4bacc6 [3208]" strokeweight="1pt">
                <v:stroke dashstyle="dash"/>
                <v:shadow color="#868686"/>
                <v:textbox>
                  <w:txbxContent>
                    <w:p w:rsidR="005F5672" w:rsidRPr="00F31EBF" w:rsidRDefault="005F5672" w:rsidP="005F5672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Dieses Modell zeigt anschaulich </w:t>
                      </w:r>
                      <w:proofErr w:type="gramStart"/>
                      <w:r>
                        <w:rPr>
                          <w:color w:val="auto"/>
                        </w:rPr>
                        <w:t>das</w:t>
                      </w:r>
                      <w:proofErr w:type="gramEnd"/>
                      <w:r>
                        <w:rPr>
                          <w:color w:val="auto"/>
                        </w:rPr>
                        <w:t xml:space="preserve"> Oberflächen zu Volumen Verhältnis von Nanopartikeln. Durch dieses Modell wird den SuS verdeutlicht, dass die Oberfläche eines Gegenstands größer wird, je kleiner sein Volumen ist.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  <w:r>
        <w:t>V1 – Erbsen-Kugel Modell</w:t>
      </w:r>
      <w:bookmarkEnd w:id="0"/>
    </w:p>
    <w:p w:rsidR="005F5672" w:rsidRDefault="005F5672" w:rsidP="005F5672">
      <w:pPr>
        <w:pStyle w:val="berschrift2"/>
        <w:numPr>
          <w:ilvl w:val="0"/>
          <w:numId w:val="0"/>
        </w:numPr>
      </w:pPr>
    </w:p>
    <w:p w:rsidR="005F5672" w:rsidRDefault="005F5672" w:rsidP="005F5672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eine große durchsichtige Kunststoffkugel (erhältlich im Bastelgeschäft), ca. 1 kg Erbsen, Feinwaage</w:t>
      </w:r>
      <w:r>
        <w:tab/>
      </w:r>
    </w:p>
    <w:p w:rsidR="005F5672" w:rsidRDefault="005F5672" w:rsidP="005F5672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Die Kunststoffkugel wird gewogen und der Wert notiert. Die Kunststoffk</w:t>
      </w:r>
      <w:r>
        <w:t>u</w:t>
      </w:r>
      <w:r>
        <w:t>gel wird mit den Erbsen gefüllt. Dabei sollten die Erbsen möglichst dasselbe Volumen ausfüllen, wie die Kunststoffkugel. Um die Oberfläche der Kuns</w:t>
      </w:r>
      <w:r>
        <w:t>t</w:t>
      </w:r>
      <w:r>
        <w:t>stoffkugel und der Erbsen berechnen zu können, werden die Durchmesser notiert. Um berechnen zu können, wie viele Erbsen sich in der Kugel befi</w:t>
      </w:r>
      <w:r>
        <w:t>n</w:t>
      </w:r>
      <w:r>
        <w:t>den, wird eine Erbse gewogen. Die gefüllte Kunststoffkugel wird gewogen und der Wert der Kunststoffkugel abgezogen, so wird das Füllgewicht e</w:t>
      </w:r>
      <w:r>
        <w:t>r</w:t>
      </w:r>
      <w:r>
        <w:t xml:space="preserve">halten. Da das Gewicht einer Erbse und das Füllgewicht bekannt ist, kann nun berechnet werden, wie viele Erbsen in der Kunststoffkugel enthalten sind. </w:t>
      </w:r>
    </w:p>
    <w:p w:rsidR="005F5672" w:rsidRDefault="005F5672" w:rsidP="005F5672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6F4D8B7F" wp14:editId="0CED7151">
            <wp:extent cx="1784118" cy="1800000"/>
            <wp:effectExtent l="0" t="0" r="0" b="0"/>
            <wp:docPr id="34" name="Grafik 34" descr="D:\9 10\fotos\20150813_175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9 10\fotos\20150813_1751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8411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5672" w:rsidRDefault="005F5672" w:rsidP="005F5672">
      <w:pPr>
        <w:pStyle w:val="Beschriftung"/>
        <w:jc w:val="center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- Das Erben-Kugel-Modell.</w:t>
      </w:r>
    </w:p>
    <w:p w:rsidR="005F5672" w:rsidRDefault="005F5672" w:rsidP="005F5672">
      <w:pPr>
        <w:tabs>
          <w:tab w:val="left" w:pos="1701"/>
          <w:tab w:val="left" w:pos="1985"/>
        </w:tabs>
        <w:ind w:left="1980" w:hanging="1980"/>
      </w:pPr>
      <w:r>
        <w:t>Auswertung:</w:t>
      </w:r>
      <w:r>
        <w:tab/>
      </w:r>
      <w:r>
        <w:tab/>
        <w:t>Es wird verdeutlicht, dass sowohl die Kunststoffkugel, als auch die kleinen Erbsen gemeinsam ein annähernd gleiches Volumen besitzen. Die Berec</w:t>
      </w:r>
      <w:r>
        <w:t>h</w:t>
      </w:r>
      <w:r>
        <w:t>nung der Oberflächen erfolgt durch die Formel:</w:t>
      </w:r>
    </w:p>
    <w:p w:rsidR="005F5672" w:rsidRPr="00957895" w:rsidRDefault="005F5672" w:rsidP="005F5672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=4</m:t>
          </m:r>
          <m:r>
            <w:rPr>
              <w:rFonts w:ascii="Cambria Math" w:hAnsi="Cambria Math"/>
            </w:rPr>
            <m:t>π</m:t>
          </m:r>
          <m:r>
            <m:rPr>
              <m:sty m:val="p"/>
            </m:rPr>
            <w:rPr>
              <w:rFonts w:ascii="Cambria Math" w:hAnsi="Cambria Math"/>
            </w:rPr>
            <m:t xml:space="preserve"> 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5F5672" w:rsidRDefault="005F5672" w:rsidP="005F5672">
      <w:pPr>
        <w:tabs>
          <w:tab w:val="left" w:pos="1701"/>
          <w:tab w:val="left" w:pos="1985"/>
        </w:tabs>
        <w:ind w:left="1980" w:firstLine="5"/>
      </w:pPr>
      <w:r>
        <w:t>Die Kunststoffkugel weist einen Radius von 7 cm auf, demnach ergibt sich für die Oberfläche:</w:t>
      </w:r>
    </w:p>
    <w:p w:rsidR="005F5672" w:rsidRPr="00957895" w:rsidRDefault="005F5672" w:rsidP="005F5672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A</m:t>
          </m:r>
          <m:r>
            <m:rPr>
              <m:sty m:val="p"/>
            </m:rPr>
            <w:rPr>
              <w:rFonts w:ascii="Cambria Math" w:hAnsi="Cambria Math"/>
            </w:rPr>
            <m:t>=4</m:t>
          </m:r>
          <m:r>
            <w:rPr>
              <w:rFonts w:ascii="Cambria Math" w:hAnsi="Cambria Math"/>
            </w:rPr>
            <m:t>π</m:t>
          </m:r>
          <m:r>
            <m:rPr>
              <m:sty m:val="p"/>
            </m:rPr>
            <w:rPr>
              <w:rFonts w:ascii="Cambria Math" w:hAnsi="Cambria Math"/>
            </w:rPr>
            <m:t xml:space="preserve"> 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 xml:space="preserve">7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615,75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cm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5F5672" w:rsidRDefault="005F5672" w:rsidP="005F5672">
      <w:pPr>
        <w:tabs>
          <w:tab w:val="left" w:pos="1701"/>
          <w:tab w:val="left" w:pos="1985"/>
        </w:tabs>
        <w:ind w:left="1985"/>
      </w:pPr>
      <w:r>
        <w:t>Die Erbsen weisen einen Radius von 0,35 cm auf, demnach ergibt sich für eine Erbse die Oberfläche:</w:t>
      </w:r>
    </w:p>
    <w:p w:rsidR="005F5672" w:rsidRPr="00094732" w:rsidRDefault="005F5672" w:rsidP="005F5672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=4</m:t>
          </m:r>
          <m:r>
            <w:rPr>
              <w:rFonts w:ascii="Cambria Math" w:hAnsi="Cambria Math"/>
            </w:rPr>
            <m:t>π</m:t>
          </m:r>
          <m:r>
            <m:rPr>
              <m:sty m:val="p"/>
            </m:rPr>
            <w:rPr>
              <w:rFonts w:ascii="Cambria Math" w:hAnsi="Cambria Math"/>
            </w:rPr>
            <m:t xml:space="preserve"> 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 xml:space="preserve">0,35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1,53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cm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5F5672" w:rsidRPr="00094732" w:rsidRDefault="005F5672" w:rsidP="005F5672">
      <w:pPr>
        <w:tabs>
          <w:tab w:val="left" w:pos="1701"/>
          <w:tab w:val="left" w:pos="1985"/>
        </w:tabs>
        <w:ind w:left="1980" w:firstLine="5"/>
        <w:rPr>
          <w:rFonts w:eastAsiaTheme="minorEastAsia"/>
        </w:rPr>
      </w:pPr>
    </w:p>
    <w:p w:rsidR="005F5672" w:rsidRDefault="005F5672" w:rsidP="005F5672">
      <w:pPr>
        <w:tabs>
          <w:tab w:val="left" w:pos="1701"/>
          <w:tab w:val="left" w:pos="1985"/>
        </w:tabs>
        <w:ind w:left="1980" w:firstLine="5"/>
        <w:rPr>
          <w:rFonts w:eastAsiaTheme="minorEastAsia"/>
        </w:rPr>
      </w:pPr>
      <w:r>
        <w:rPr>
          <w:rFonts w:eastAsiaTheme="minorEastAsia"/>
        </w:rPr>
        <w:t>Da berechnet wurde, dass sich ca. 4925 Erbsen in der Kunststoffkugel en</w:t>
      </w:r>
      <w:r>
        <w:rPr>
          <w:rFonts w:eastAsiaTheme="minorEastAsia"/>
        </w:rPr>
        <w:t>t</w:t>
      </w:r>
      <w:r>
        <w:rPr>
          <w:rFonts w:eastAsiaTheme="minorEastAsia"/>
        </w:rPr>
        <w:t>halten sind, beträgt die Oberfläche zusammen:</w:t>
      </w:r>
    </w:p>
    <w:p w:rsidR="005F5672" w:rsidRPr="0039673B" w:rsidRDefault="005F5672" w:rsidP="005F5672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 xml:space="preserve">=1,53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cm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∙4925=7580,66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cm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160C0D" w:rsidRDefault="00160C0D"/>
    <w:sectPr w:rsidR="00160C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72"/>
    <w:rsid w:val="00160C0D"/>
    <w:rsid w:val="00597C27"/>
    <w:rsid w:val="005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5672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F5672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F567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F5672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567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F567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F567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F567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F567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F567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5672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F5672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F5672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56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F56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F56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56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56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56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5F5672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5672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5672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F5672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F567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F5672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567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F567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F567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F567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F567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F567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5672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F5672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F5672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56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F56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F56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56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56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56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5F5672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5672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1298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1</cp:revision>
  <dcterms:created xsi:type="dcterms:W3CDTF">2015-08-20T15:22:00Z</dcterms:created>
  <dcterms:modified xsi:type="dcterms:W3CDTF">2015-08-20T15:23:00Z</dcterms:modified>
</cp:coreProperties>
</file>