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51" w:rsidRPr="00984EF9" w:rsidRDefault="00A47E51" w:rsidP="00A47E51">
      <w:pPr>
        <w:pStyle w:val="berschrift2"/>
        <w:numPr>
          <w:ilvl w:val="0"/>
          <w:numId w:val="0"/>
        </w:numPr>
        <w:ind w:left="576" w:hanging="576"/>
      </w:pPr>
      <w:bookmarkStart w:id="0" w:name="_Toc427518719"/>
      <w:r>
        <w:rPr>
          <w:noProof/>
          <w:lang w:eastAsia="de-DE"/>
        </w:rPr>
        <mc:AlternateContent>
          <mc:Choice Requires="wps">
            <w:drawing>
              <wp:anchor distT="0" distB="0" distL="114300" distR="114300" simplePos="0" relativeHeight="251659264" behindDoc="0" locked="0" layoutInCell="1" allowOverlap="1" wp14:anchorId="091E0957" wp14:editId="6058FF62">
                <wp:simplePos x="0" y="0"/>
                <wp:positionH relativeFrom="column">
                  <wp:posOffset>-635</wp:posOffset>
                </wp:positionH>
                <wp:positionV relativeFrom="paragraph">
                  <wp:posOffset>551815</wp:posOffset>
                </wp:positionV>
                <wp:extent cx="5873115" cy="801370"/>
                <wp:effectExtent l="0" t="0" r="13335" b="1778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13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7E51" w:rsidRPr="00F31EBF" w:rsidRDefault="00A47E51" w:rsidP="00A47E51">
                            <w:pPr>
                              <w:rPr>
                                <w:color w:val="auto"/>
                              </w:rPr>
                            </w:pPr>
                            <w:r>
                              <w:rPr>
                                <w:color w:val="auto"/>
                              </w:rPr>
                              <w:t>In diesem Lehrerversuch wird deutlich, dass das Reaktionsverhalten eines Stoffes häufig von seinem Zerteilungsgrad abhängt. Der Versuch kann ebenso gut als Schülerversuch durchg</w:t>
                            </w:r>
                            <w:r>
                              <w:rPr>
                                <w:color w:val="auto"/>
                              </w:rPr>
                              <w:t>e</w:t>
                            </w:r>
                            <w:r>
                              <w:rPr>
                                <w:color w:val="auto"/>
                              </w:rPr>
                              <w:t xml:space="preserve">führt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3.45pt;width:462.4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" fillcolor="white [3201]" strokecolor="#4bacc6 [3208]" strokeweight="1pt">
                <v:stroke dashstyle="dash"/>
                <v:shadow color="#868686"/>
                <v:textbox>
                  <w:txbxContent>
                    <w:p w:rsidR="00A47E51" w:rsidRPr="00F31EBF" w:rsidRDefault="00A47E51" w:rsidP="00A47E51">
                      <w:pPr>
                        <w:rPr>
                          <w:color w:val="auto"/>
                        </w:rPr>
                      </w:pPr>
                      <w:r>
                        <w:rPr>
                          <w:color w:val="auto"/>
                        </w:rPr>
                        <w:t>In diesem Lehrerversuch wird deutlich, dass das Reaktionsverhalten eines Stoffes häufig von seinem Zerteilungsgrad abhängt. Der Versuch kann ebenso gut als Schülerversuch durchg</w:t>
                      </w:r>
                      <w:r>
                        <w:rPr>
                          <w:color w:val="auto"/>
                        </w:rPr>
                        <w:t>e</w:t>
                      </w:r>
                      <w:r>
                        <w:rPr>
                          <w:color w:val="auto"/>
                        </w:rPr>
                        <w:t xml:space="preserve">führt werden. </w:t>
                      </w:r>
                    </w:p>
                  </w:txbxContent>
                </v:textbox>
                <w10:wrap type="square"/>
              </v:shape>
            </w:pict>
          </mc:Fallback>
        </mc:AlternateContent>
      </w:r>
      <w:bookmarkStart w:id="1" w:name="_GoBack"/>
      <w:bookmarkEnd w:id="1"/>
      <w:r>
        <w:t>V2 – Zerteilungsgrad mit roter Bete</w:t>
      </w:r>
      <w:bookmarkEnd w:id="0"/>
    </w:p>
    <w:p w:rsidR="00A47E51" w:rsidRDefault="00A47E51" w:rsidP="00A47E51">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47E51" w:rsidRPr="009C5E28" w:rsidTr="00CA0E7C">
        <w:tc>
          <w:tcPr>
            <w:tcW w:w="9322" w:type="dxa"/>
            <w:gridSpan w:val="9"/>
            <w:shd w:val="clear" w:color="auto" w:fill="4F81BD"/>
            <w:vAlign w:val="center"/>
          </w:tcPr>
          <w:p w:rsidR="00A47E51" w:rsidRPr="00F31EBF" w:rsidRDefault="00A47E51" w:rsidP="00CA0E7C">
            <w:pPr>
              <w:spacing w:after="0"/>
              <w:jc w:val="center"/>
              <w:rPr>
                <w:b/>
                <w:bCs/>
                <w:color w:val="FFFFFF" w:themeColor="background1"/>
              </w:rPr>
            </w:pPr>
            <w:r w:rsidRPr="00F31EBF">
              <w:rPr>
                <w:b/>
                <w:bCs/>
                <w:color w:val="FFFFFF" w:themeColor="background1"/>
              </w:rPr>
              <w:t>Gefahrenstoffe</w:t>
            </w:r>
          </w:p>
        </w:tc>
      </w:tr>
      <w:tr w:rsidR="00A47E51" w:rsidRPr="004A1874" w:rsidTr="00CA0E7C">
        <w:trPr>
          <w:trHeight w:val="434"/>
        </w:trPr>
        <w:tc>
          <w:tcPr>
            <w:tcW w:w="3027" w:type="dxa"/>
            <w:gridSpan w:val="3"/>
            <w:tcBorders>
              <w:bottom w:val="single" w:sz="8" w:space="0" w:color="4F81BD"/>
            </w:tcBorders>
            <w:shd w:val="clear" w:color="auto" w:fill="auto"/>
            <w:vAlign w:val="center"/>
          </w:tcPr>
          <w:p w:rsidR="00A47E51" w:rsidRPr="004A1874" w:rsidRDefault="00A47E51" w:rsidP="00CA0E7C">
            <w:pPr>
              <w:spacing w:after="0" w:line="276" w:lineRule="auto"/>
              <w:jc w:val="center"/>
              <w:rPr>
                <w:bCs/>
                <w:sz w:val="20"/>
                <w:szCs w:val="20"/>
              </w:rPr>
            </w:pPr>
            <w:r>
              <w:rPr>
                <w:bCs/>
                <w:sz w:val="20"/>
                <w:szCs w:val="20"/>
              </w:rPr>
              <w:t>Wasser</w:t>
            </w:r>
          </w:p>
        </w:tc>
        <w:tc>
          <w:tcPr>
            <w:tcW w:w="3177" w:type="dxa"/>
            <w:gridSpan w:val="3"/>
            <w:tcBorders>
              <w:bottom w:val="single" w:sz="8" w:space="0" w:color="4F81BD"/>
            </w:tcBorders>
            <w:shd w:val="clear" w:color="auto" w:fill="auto"/>
            <w:vAlign w:val="center"/>
          </w:tcPr>
          <w:p w:rsidR="00A47E51" w:rsidRPr="004A1874" w:rsidRDefault="00A47E51" w:rsidP="00CA0E7C">
            <w:pPr>
              <w:pStyle w:val="Beschriftung"/>
              <w:spacing w:after="0"/>
              <w:jc w:val="center"/>
              <w:rPr>
                <w:sz w:val="20"/>
                <w:szCs w:val="20"/>
              </w:rPr>
            </w:pPr>
            <w:r w:rsidRPr="004A1874">
              <w:rPr>
                <w:sz w:val="20"/>
                <w:szCs w:val="20"/>
              </w:rPr>
              <w:t xml:space="preserve">H: </w:t>
            </w:r>
            <w:r>
              <w:rPr>
                <w:sz w:val="20"/>
                <w:szCs w:val="20"/>
              </w:rPr>
              <w:t>-</w:t>
            </w:r>
          </w:p>
        </w:tc>
        <w:tc>
          <w:tcPr>
            <w:tcW w:w="3118" w:type="dxa"/>
            <w:gridSpan w:val="3"/>
            <w:tcBorders>
              <w:bottom w:val="single" w:sz="8" w:space="0" w:color="4F81BD"/>
            </w:tcBorders>
            <w:shd w:val="clear" w:color="auto" w:fill="auto"/>
            <w:vAlign w:val="center"/>
          </w:tcPr>
          <w:p w:rsidR="00A47E51" w:rsidRPr="004A1874" w:rsidRDefault="00A47E51" w:rsidP="00CA0E7C">
            <w:pPr>
              <w:pStyle w:val="Beschriftung"/>
              <w:spacing w:after="0"/>
              <w:jc w:val="center"/>
              <w:rPr>
                <w:sz w:val="20"/>
                <w:szCs w:val="20"/>
              </w:rPr>
            </w:pPr>
            <w:r w:rsidRPr="004A1874">
              <w:rPr>
                <w:sz w:val="20"/>
                <w:szCs w:val="20"/>
              </w:rPr>
              <w:t xml:space="preserve">P: </w:t>
            </w:r>
            <w:r>
              <w:rPr>
                <w:sz w:val="20"/>
                <w:szCs w:val="20"/>
              </w:rPr>
              <w:t>-</w:t>
            </w:r>
          </w:p>
        </w:tc>
      </w:tr>
      <w:tr w:rsidR="00A47E51" w:rsidRPr="009C5E28" w:rsidTr="00CA0E7C">
        <w:tc>
          <w:tcPr>
            <w:tcW w:w="1009" w:type="dxa"/>
            <w:tcBorders>
              <w:top w:val="nil"/>
              <w:left w:val="single" w:sz="8" w:space="0" w:color="4F81BD"/>
              <w:bottom w:val="single" w:sz="8" w:space="0" w:color="4F81BD"/>
            </w:tcBorders>
            <w:shd w:val="clear" w:color="auto" w:fill="auto"/>
            <w:vAlign w:val="center"/>
          </w:tcPr>
          <w:p w:rsidR="00A47E51" w:rsidRPr="009C5E28" w:rsidRDefault="00A47E51" w:rsidP="00CA0E7C">
            <w:pPr>
              <w:spacing w:after="0"/>
              <w:jc w:val="center"/>
              <w:rPr>
                <w:b/>
                <w:bCs/>
              </w:rPr>
            </w:pPr>
            <w:r>
              <w:rPr>
                <w:b/>
                <w:bCs/>
                <w:noProof/>
                <w:lang w:eastAsia="de-DE"/>
              </w:rPr>
              <w:drawing>
                <wp:inline distT="0" distB="0" distL="0" distR="0" wp14:anchorId="6F8F156D" wp14:editId="5F35DDC6">
                  <wp:extent cx="504000" cy="504000"/>
                  <wp:effectExtent l="0" t="0" r="0" b="0"/>
                  <wp:docPr id="11" name="Grafik 11"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3089D36A" wp14:editId="32806539">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02B7FBC6" wp14:editId="67429A04">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011B896A" wp14:editId="18735897">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1C1A4B5C" wp14:editId="37C9D7B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5566182E" wp14:editId="48BA8CC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37B88A7C" wp14:editId="3DA5941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142FC094" wp14:editId="06FBAF68">
                  <wp:extent cx="504000" cy="504000"/>
                  <wp:effectExtent l="0" t="0" r="0" b="0"/>
                  <wp:docPr id="22" name="Grafik 22"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A47E51" w:rsidRPr="009C5E28" w:rsidRDefault="00A47E51" w:rsidP="00CA0E7C">
            <w:pPr>
              <w:spacing w:after="0"/>
              <w:jc w:val="center"/>
            </w:pPr>
            <w:r>
              <w:rPr>
                <w:noProof/>
                <w:lang w:eastAsia="de-DE"/>
              </w:rPr>
              <w:drawing>
                <wp:inline distT="0" distB="0" distL="0" distR="0" wp14:anchorId="0084E0C2" wp14:editId="04AF19E5">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47E51" w:rsidRDefault="00A47E51" w:rsidP="00A47E51">
      <w:pPr>
        <w:tabs>
          <w:tab w:val="left" w:pos="1701"/>
          <w:tab w:val="left" w:pos="1985"/>
        </w:tabs>
        <w:ind w:left="1980" w:hanging="1980"/>
      </w:pPr>
    </w:p>
    <w:p w:rsidR="00A47E51" w:rsidRDefault="00A47E51" w:rsidP="00A47E51">
      <w:pPr>
        <w:tabs>
          <w:tab w:val="left" w:pos="1701"/>
          <w:tab w:val="left" w:pos="1985"/>
        </w:tabs>
        <w:ind w:left="1980" w:hanging="1980"/>
      </w:pPr>
      <w:r>
        <w:t xml:space="preserve">Materialien: </w:t>
      </w:r>
      <w:r>
        <w:tab/>
      </w:r>
      <w:r>
        <w:tab/>
        <w:t>3 große Bechergläser (1000 mL)</w:t>
      </w:r>
      <w:r>
        <w:tab/>
      </w:r>
    </w:p>
    <w:p w:rsidR="00A47E51" w:rsidRPr="00ED07C2" w:rsidRDefault="00A47E51" w:rsidP="00A47E51">
      <w:pPr>
        <w:tabs>
          <w:tab w:val="left" w:pos="1701"/>
          <w:tab w:val="left" w:pos="1985"/>
        </w:tabs>
        <w:ind w:left="1980" w:hanging="1980"/>
      </w:pPr>
      <w:r>
        <w:t>Chemikalien:</w:t>
      </w:r>
      <w:r>
        <w:tab/>
      </w:r>
      <w:r>
        <w:tab/>
      </w:r>
      <w:r>
        <w:tab/>
        <w:t>Wasser, 3 rote Bete (möglichst frisch und von gleicher Größe)</w:t>
      </w:r>
    </w:p>
    <w:p w:rsidR="00A47E51" w:rsidRDefault="00A47E51" w:rsidP="00A47E51">
      <w:pPr>
        <w:tabs>
          <w:tab w:val="left" w:pos="1701"/>
          <w:tab w:val="left" w:pos="1985"/>
        </w:tabs>
        <w:ind w:left="1980" w:hanging="1980"/>
      </w:pPr>
      <w:r>
        <w:t xml:space="preserve">Durchführung: </w:t>
      </w:r>
      <w:r>
        <w:tab/>
      </w:r>
      <w:r>
        <w:tab/>
        <w:t>Die rote Bete wird abgespült und eine von ihnen halbiert, die andere in kleine Stücke geschnitten. Die Bechergläser werden mit 700 mL Wasser g</w:t>
      </w:r>
      <w:r>
        <w:t>e</w:t>
      </w:r>
      <w:r>
        <w:t>füllt und die ganze, die halbierte und die in Stücken geschnittene rote Bete gleichzeitig in jeweils ein Becherglas gegeben. Es wird die Färbung be</w:t>
      </w:r>
      <w:r>
        <w:t>o</w:t>
      </w:r>
      <w:r>
        <w:t>bachtet.</w:t>
      </w:r>
    </w:p>
    <w:p w:rsidR="00A47E51" w:rsidRDefault="00A47E51" w:rsidP="00A47E51">
      <w:pPr>
        <w:tabs>
          <w:tab w:val="left" w:pos="1701"/>
          <w:tab w:val="left" w:pos="1985"/>
        </w:tabs>
        <w:ind w:left="1980" w:hanging="1980"/>
      </w:pPr>
      <w:r>
        <w:t>Beobachtung:</w:t>
      </w:r>
      <w:r>
        <w:tab/>
      </w:r>
      <w:r>
        <w:tab/>
        <w:t>Die Färbung in dem Becherglas mit der in Stücken geschnittenen roten Bete ist am intensivsten, gefolgt von dem Becherglas mit der halbierten. Das B</w:t>
      </w:r>
      <w:r>
        <w:t>e</w:t>
      </w:r>
      <w:r>
        <w:t xml:space="preserve">cherglas mit der ganzen roten Bete weist die geringste Färbung auf. </w:t>
      </w:r>
    </w:p>
    <w:p w:rsidR="00A47E51" w:rsidRDefault="00A47E51" w:rsidP="00A47E51">
      <w:pPr>
        <w:tabs>
          <w:tab w:val="left" w:pos="1701"/>
          <w:tab w:val="left" w:pos="1985"/>
        </w:tabs>
        <w:ind w:left="1980" w:hanging="1980"/>
        <w:jc w:val="center"/>
      </w:pPr>
      <w:r>
        <w:rPr>
          <w:noProof/>
          <w:lang w:eastAsia="de-DE"/>
        </w:rPr>
        <w:drawing>
          <wp:inline distT="0" distB="0" distL="0" distR="0" wp14:anchorId="4C810822" wp14:editId="0D21F08E">
            <wp:extent cx="4064277" cy="1731081"/>
            <wp:effectExtent l="0" t="0" r="0" b="0"/>
            <wp:docPr id="32" name="Grafik 32" descr="C:\Users\Isabel\Studium\master\2. Semester\SVP chemie\9 10\fotos\20150806_135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Isabel\Studium\master\2. Semester\SVP chemie\9 10\fotos\20150806_13592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062077" cy="1730144"/>
                    </a:xfrm>
                    <a:prstGeom prst="rect">
                      <a:avLst/>
                    </a:prstGeom>
                    <a:noFill/>
                    <a:ln>
                      <a:noFill/>
                    </a:ln>
                    <a:extLst>
                      <a:ext uri="{53640926-AAD7-44D8-BBD7-CCE9431645EC}">
                        <a14:shadowObscured xmlns:a14="http://schemas.microsoft.com/office/drawing/2010/main"/>
                      </a:ext>
                    </a:extLst>
                  </pic:spPr>
                </pic:pic>
              </a:graphicData>
            </a:graphic>
          </wp:inline>
        </w:drawing>
      </w:r>
    </w:p>
    <w:p w:rsidR="00A47E51" w:rsidRDefault="00A47E51" w:rsidP="00A47E51">
      <w:pPr>
        <w:pStyle w:val="Beschriftung"/>
        <w:jc w:val="center"/>
      </w:pPr>
      <w:r>
        <w:t xml:space="preserve">Abb. </w:t>
      </w:r>
      <w:r>
        <w:fldChar w:fldCharType="begin"/>
      </w:r>
      <w:r>
        <w:instrText xml:space="preserve"> SEQ Abb. \* ARABIC </w:instrText>
      </w:r>
      <w:r>
        <w:fldChar w:fldCharType="separate"/>
      </w:r>
      <w:r>
        <w:rPr>
          <w:noProof/>
        </w:rPr>
        <w:t>2</w:t>
      </w:r>
      <w:r>
        <w:rPr>
          <w:noProof/>
        </w:rPr>
        <w:fldChar w:fldCharType="end"/>
      </w:r>
      <w:r>
        <w:t xml:space="preserve"> - Verschieden starke Färbungen des Wassers.</w:t>
      </w:r>
    </w:p>
    <w:p w:rsidR="00A47E51" w:rsidRDefault="00A47E51" w:rsidP="00A47E51">
      <w:pPr>
        <w:ind w:left="1980" w:hanging="1980"/>
        <w:rPr>
          <w:rFonts w:eastAsiaTheme="minorEastAsia"/>
        </w:rPr>
      </w:pPr>
      <w:r>
        <w:t>Deutung:</w:t>
      </w:r>
      <w:r>
        <w:tab/>
        <w:t xml:space="preserve">Da </w:t>
      </w:r>
      <w:proofErr w:type="gramStart"/>
      <w:r>
        <w:t>das</w:t>
      </w:r>
      <w:proofErr w:type="gramEnd"/>
      <w:r>
        <w:t xml:space="preserve"> Oberfläche zu Volumen Verhältnis bei der geschnittenen roten Bete am größten ist, wird das Wasser stärker gefärbt, als in dem Becherglas mit </w:t>
      </w:r>
      <w:r>
        <w:lastRenderedPageBreak/>
        <w:t>der ganzen roten Bete und mit der halbierten roten Bete. Dieses Phänomen lässt sich auch auf chemische Reaktionen übertragen, denn diese finden immer an den Grenzflächen statt. Ist die Grenzfläche groß, so können mehr chemische Reaktionen stattfinden.</w:t>
      </w:r>
    </w:p>
    <w:p w:rsidR="00A47E51" w:rsidRDefault="00A47E51" w:rsidP="00A47E51">
      <w:pPr>
        <w:tabs>
          <w:tab w:val="left" w:pos="1980"/>
        </w:tabs>
        <w:ind w:left="1980" w:right="52" w:hanging="1980"/>
        <w:jc w:val="left"/>
      </w:pPr>
      <w:r>
        <w:t>Entsorgung:</w:t>
      </w:r>
      <w:r w:rsidRPr="000345E5">
        <w:t xml:space="preserve"> </w:t>
      </w:r>
      <w:r>
        <w:tab/>
        <w:t xml:space="preserve">Die rote Bete kann im Hausabfall entsorgt und das Wasser in den Abfluss gegeben werden. </w:t>
      </w:r>
    </w:p>
    <w:p w:rsidR="00A47E51" w:rsidRPr="004D46E7" w:rsidRDefault="00A47E51" w:rsidP="00A47E51">
      <w:pPr>
        <w:tabs>
          <w:tab w:val="left" w:pos="1980"/>
        </w:tabs>
        <w:ind w:left="1980" w:hanging="1980"/>
        <w:rPr>
          <w:rFonts w:asciiTheme="majorHAnsi" w:hAnsiTheme="majorHAnsi"/>
        </w:rPr>
      </w:pPr>
      <w:r>
        <w:t>Literatur:</w:t>
      </w:r>
      <w:r>
        <w:tab/>
        <w:t xml:space="preserve">C. Rummel, M. Hahn, 2013, </w:t>
      </w:r>
      <w:r w:rsidRPr="00C37680">
        <w:t xml:space="preserve">https://mlr.baden-wuerttemberg.de/fileadmin /redaktion/m-mlr/intern/dateien/publikationen/Die_Kueche_als_Lernort. </w:t>
      </w:r>
      <w:proofErr w:type="spellStart"/>
      <w:r w:rsidRPr="00C37680">
        <w:t>pdf</w:t>
      </w:r>
      <w:proofErr w:type="spellEnd"/>
      <w:r>
        <w:t>, (Zuletzt abgerufen am 08.08.15 um 10:59 Uhr)</w:t>
      </w:r>
    </w:p>
    <w:p w:rsidR="00A47E51" w:rsidRPr="006E32AF" w:rsidRDefault="00A47E51" w:rsidP="00A47E51">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760095"/>
                <wp:effectExtent l="13970" t="8890" r="8890" b="1206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009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7E51" w:rsidRPr="00F31EBF" w:rsidRDefault="00A47E51" w:rsidP="00A47E51">
                            <w:pPr>
                              <w:rPr>
                                <w:color w:val="auto"/>
                              </w:rPr>
                            </w:pPr>
                            <w:r>
                              <w:rPr>
                                <w:color w:val="auto"/>
                              </w:rPr>
                              <w:t>Bei diesem Versuch handelt es sich um keine chemische Reaktion, sollte der Zerteilungsgrad bei einer chemischen Reaktion gezeigt werden, kann beispielsweise das Verbrennen von Eisen, Eisenwolle und Eisenpulver gewählt werden.</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" fillcolor="white [3201]" strokecolor="#c0504d [3205]" strokeweight="1pt">
                <v:stroke dashstyle="dash"/>
                <v:shadow color="#868686"/>
                <v:textbox>
                  <w:txbxContent>
                    <w:p w:rsidR="00A47E51" w:rsidRPr="00F31EBF" w:rsidRDefault="00A47E51" w:rsidP="00A47E51">
                      <w:pPr>
                        <w:rPr>
                          <w:color w:val="auto"/>
                        </w:rPr>
                      </w:pPr>
                      <w:r>
                        <w:rPr>
                          <w:color w:val="auto"/>
                        </w:rPr>
                        <w:t>Bei diesem Versuch handelt es sich um keine chemische Reaktion, sollte der Zerteilungsgrad bei einer chemischen Reaktion gezeigt werden, kann beispielsweise das Verbrennen von Eisen, Eisenwolle und Eisenpulver gewählt werden.</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51"/>
    <w:rsid w:val="00160C0D"/>
    <w:rsid w:val="00597C27"/>
    <w:rsid w:val="00A47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E5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47E5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47E5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47E5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47E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47E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47E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47E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47E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47E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7E5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47E5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47E5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47E5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47E5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47E5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47E5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47E5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47E5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47E5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47E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E51"/>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E5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47E5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47E5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47E5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47E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47E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47E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47E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47E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47E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7E5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47E5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47E5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47E5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47E5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47E5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47E5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47E5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47E5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47E5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47E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E51"/>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1342</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2015-08-20T15:23:00Z</dcterms:created>
  <dcterms:modified xsi:type="dcterms:W3CDTF">2015-08-20T15:24:00Z</dcterms:modified>
</cp:coreProperties>
</file>