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D6" w:rsidRPr="006C0BD6" w:rsidRDefault="006C0BD6" w:rsidP="006C0BD6">
      <w:pPr>
        <w:rPr>
          <w:b/>
        </w:rPr>
      </w:pPr>
      <w:r w:rsidRPr="006C0BD6">
        <w:rPr>
          <w:b/>
        </w:rPr>
        <w:t>Lithiumionen-Akkumulator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C0BD6" w:rsidRPr="009C5E28" w:rsidTr="00CF7379">
        <w:tc>
          <w:tcPr>
            <w:tcW w:w="9322" w:type="dxa"/>
            <w:gridSpan w:val="9"/>
            <w:shd w:val="clear" w:color="auto" w:fill="4F81BD"/>
            <w:vAlign w:val="center"/>
          </w:tcPr>
          <w:p w:rsidR="006C0BD6" w:rsidRPr="00F31EBF" w:rsidRDefault="006C0BD6" w:rsidP="00CF737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6C0BD6" w:rsidRPr="009C5E28" w:rsidTr="00CF737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Pr="009C5E28" w:rsidRDefault="006C0BD6" w:rsidP="00CF7379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Lithiumperchlorat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Pr="008E2B8A" w:rsidRDefault="006C0BD6" w:rsidP="00CF7379">
            <w:pPr>
              <w:spacing w:after="0"/>
              <w:jc w:val="center"/>
              <w:rPr>
                <w:sz w:val="20"/>
                <w:szCs w:val="20"/>
              </w:rPr>
            </w:pPr>
            <w:r w:rsidRPr="008E2B8A">
              <w:rPr>
                <w:sz w:val="20"/>
                <w:szCs w:val="20"/>
              </w:rPr>
              <w:t>H: 272 – 315 – 319 - 335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0BD6" w:rsidRPr="008E2B8A" w:rsidRDefault="006C0BD6" w:rsidP="00CF7379">
            <w:pPr>
              <w:spacing w:after="0"/>
              <w:jc w:val="center"/>
              <w:rPr>
                <w:sz w:val="20"/>
                <w:szCs w:val="20"/>
              </w:rPr>
            </w:pPr>
            <w:r w:rsidRPr="008E2B8A">
              <w:rPr>
                <w:sz w:val="20"/>
                <w:szCs w:val="20"/>
              </w:rPr>
              <w:t>P: -</w:t>
            </w:r>
            <w:r>
              <w:rPr>
                <w:sz w:val="20"/>
                <w:szCs w:val="20"/>
              </w:rPr>
              <w:t xml:space="preserve">220 - 261 - </w:t>
            </w:r>
            <w:r w:rsidRPr="005274CB">
              <w:rPr>
                <w:sz w:val="20"/>
                <w:szCs w:val="20"/>
              </w:rPr>
              <w:t>305+</w:t>
            </w:r>
            <w:r>
              <w:rPr>
                <w:sz w:val="20"/>
                <w:szCs w:val="20"/>
              </w:rPr>
              <w:t>351+338</w:t>
            </w:r>
          </w:p>
        </w:tc>
      </w:tr>
      <w:tr w:rsidR="006C0BD6" w:rsidRPr="009C5E28" w:rsidTr="00CF737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Default="006C0BD6" w:rsidP="00CF7379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Propylencarbonat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Pr="008E2B8A" w:rsidRDefault="006C0BD6" w:rsidP="00CF73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0BD6" w:rsidRPr="008E2B8A" w:rsidRDefault="006C0BD6" w:rsidP="00CF73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P: </w:t>
            </w:r>
            <w:r w:rsidRPr="005274CB">
              <w:rPr>
                <w:sz w:val="20"/>
                <w:szCs w:val="20"/>
              </w:rPr>
              <w:t>305+</w:t>
            </w:r>
            <w:r>
              <w:rPr>
                <w:sz w:val="20"/>
                <w:szCs w:val="20"/>
              </w:rPr>
              <w:t>351+338</w:t>
            </w:r>
          </w:p>
        </w:tc>
      </w:tr>
      <w:tr w:rsidR="006C0BD6" w:rsidRPr="009C5E28" w:rsidTr="00CF737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Default="006C0BD6" w:rsidP="00CF7379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Paraffin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Default="006C0BD6" w:rsidP="00CF73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H: -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0BD6" w:rsidRDefault="006C0BD6" w:rsidP="00CF73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P: - </w:t>
            </w:r>
          </w:p>
        </w:tc>
      </w:tr>
      <w:tr w:rsidR="006C0BD6" w:rsidRPr="009C5E28" w:rsidTr="00CF737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Pr="009C5E28" w:rsidRDefault="006C0BD6" w:rsidP="00CF737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7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Pr="009C5E28" w:rsidRDefault="006C0BD6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Pr="009C5E28" w:rsidRDefault="006C0BD6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89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Pr="009C5E28" w:rsidRDefault="006C0BD6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Pr="009C5E28" w:rsidRDefault="006C0BD6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Pr="009C5E28" w:rsidRDefault="006C0BD6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2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Pr="009C5E28" w:rsidRDefault="006C0BD6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3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0BD6" w:rsidRPr="009C5E28" w:rsidRDefault="006C0BD6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4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0BD6" w:rsidRPr="009C5E28" w:rsidRDefault="006C0BD6" w:rsidP="00CF737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BD6" w:rsidRDefault="006C0BD6" w:rsidP="006C0BD6">
      <w:pPr>
        <w:tabs>
          <w:tab w:val="left" w:pos="1701"/>
          <w:tab w:val="left" w:pos="1985"/>
        </w:tabs>
        <w:ind w:left="1980" w:hanging="1980"/>
      </w:pPr>
    </w:p>
    <w:p w:rsidR="006C0BD6" w:rsidRDefault="006C0BD6" w:rsidP="006C0BD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Experimentierkoffer Lithiumionen-Akkumulator oder alternativ:</w:t>
      </w:r>
    </w:p>
    <w:p w:rsidR="006C0BD6" w:rsidRDefault="006C0BD6" w:rsidP="006C0BD6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2 Bechergläser (50 mL, 250 mL), Pasteurpipette, Magnetrührer, Rührfisch, Lüsterklemme, 2 Bleistiftminen, Spannungsquelle, Spannungsmessgerät, Kabel, Flügelmotor, Krokodilklemmen.</w:t>
      </w:r>
    </w:p>
    <w:p w:rsidR="006C0BD6" w:rsidRPr="00ED07C2" w:rsidRDefault="006C0BD6" w:rsidP="006C0BD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Lithiumperchlorat, Propylencarbonat.</w:t>
      </w:r>
    </w:p>
    <w:p w:rsidR="006C0BD6" w:rsidRDefault="006C0BD6" w:rsidP="006C0BD6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>Im 250 mL Becherglas werden in 40 mL Propylencarbonat 4,24 g Lithiumperchlorat gegeben und für einen vollständigen Lösungsvorgang für 20 Min. gerührt. Danach wird die Lösung in das 50 mL Becherglas gegeben und mit der Pasteurpipette mit dickflüssigem Paraffinöl überschichtet (Luft- und Wasserausschluss). Die beiden Bleistiftminen werden in der Lüsterklemme fixiert und in die Lösung gestellt. Zunächst wird der Lithiumionenakku für 5 Minuten bei 4,5 V geladen. Danach wird ein Spannungsmessgerät oder ein Flügelmotor in Reihe geschaltet.</w:t>
      </w:r>
    </w:p>
    <w:p w:rsidR="006C0BD6" w:rsidRDefault="006C0BD6" w:rsidP="006C0BD6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Spannung beträgt ca. 3,6 V, der Flügelmotor dreht sich für ca. 20 Sekunden.</w:t>
      </w:r>
    </w:p>
    <w:p w:rsidR="006C0BD6" w:rsidRDefault="006C0BD6" w:rsidP="006C0BD6">
      <w:pPr>
        <w:keepNext/>
        <w:tabs>
          <w:tab w:val="left" w:pos="1701"/>
          <w:tab w:val="left" w:pos="1985"/>
        </w:tabs>
        <w:ind w:left="1980" w:hanging="1980"/>
        <w:jc w:val="center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1807965" cy="1800000"/>
            <wp:effectExtent l="19050" t="0" r="1785" b="0"/>
            <wp:docPr id="2" name="Bild 2" descr="C:\Users\Dennis Roggenkämper\Desktop\Energiespeicherung\IMG_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nis Roggenkämper\Desktop\Energiespeicherung\IMG_239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594" r="13350" b="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96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800000" cy="1553425"/>
            <wp:effectExtent l="0" t="114300" r="0" b="103925"/>
            <wp:docPr id="98" name="Bild 4" descr="C:\Users\Dennis Roggenkämper\AppData\Local\Microsoft\Windows\Temporary Internet Files\Content.Word\IMG_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nis Roggenkämper\AppData\Local\Microsoft\Windows\Temporary Internet Files\Content.Word\IMG_23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2705" t="12867" r="1890" b="2324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5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BD6" w:rsidRPr="00247452" w:rsidRDefault="006C0BD6" w:rsidP="006C0BD6">
      <w:pPr>
        <w:pStyle w:val="Beschriftung"/>
        <w:jc w:val="center"/>
      </w:pPr>
      <w:r w:rsidRPr="00247452">
        <w:t xml:space="preserve">Abb. </w:t>
      </w:r>
      <w:r>
        <w:t>3</w:t>
      </w:r>
      <w:r w:rsidRPr="00247452">
        <w:t xml:space="preserve"> – </w:t>
      </w:r>
      <w:r>
        <w:rPr>
          <w:noProof/>
        </w:rPr>
        <w:t>Lithiumionen-Akkumulator.</w:t>
      </w:r>
    </w:p>
    <w:p w:rsidR="006C0BD6" w:rsidRDefault="006C0BD6" w:rsidP="006C0BD6">
      <w:pPr>
        <w:tabs>
          <w:tab w:val="left" w:pos="1701"/>
          <w:tab w:val="left" w:pos="1985"/>
        </w:tabs>
        <w:ind w:left="1985" w:hanging="1985"/>
      </w:pPr>
      <w:r>
        <w:lastRenderedPageBreak/>
        <w:t>Deutung:</w:t>
      </w:r>
      <w:r>
        <w:tab/>
      </w:r>
      <w:r>
        <w:tab/>
        <w:t>Beim Laden interkalieren die Perchlorat- und Lithium-Ionen in die Graphitelektroden. Beim Entladen diffundieren die Ionen wieder in Lösung.</w:t>
      </w:r>
    </w:p>
    <w:p w:rsidR="006C0BD6" w:rsidRDefault="006C0BD6" w:rsidP="006C0BD6">
      <w:pPr>
        <w:spacing w:after="0"/>
        <w:ind w:left="1985"/>
      </w:pPr>
      <w:r>
        <w:t>Es laufen folgende Reaktionen ab, wobei die Hinreaktion den Entladevorgang darstellt und die Rückreaktion den Ladevorgang:</w:t>
      </w:r>
    </w:p>
    <w:p w:rsidR="006C0BD6" w:rsidRPr="004C7AE3" w:rsidRDefault="006C0BD6" w:rsidP="006C0BD6">
      <w:pPr>
        <w:autoSpaceDE w:val="0"/>
        <w:autoSpaceDN w:val="0"/>
        <w:adjustRightInd w:val="0"/>
        <w:ind w:left="2124" w:firstLine="708"/>
        <w:jc w:val="left"/>
        <w:rPr>
          <w:rFonts w:asciiTheme="majorHAnsi" w:hAnsiTheme="majorHAnsi"/>
        </w:rPr>
      </w:pPr>
      <w:r w:rsidRPr="004C7AE3">
        <w:rPr>
          <w:rFonts w:asciiTheme="majorHAnsi" w:hAnsiTheme="majorHAnsi" w:cs="Arial"/>
          <w:color w:val="auto"/>
        </w:rPr>
        <w:t>Minuspol:</w:t>
      </w:r>
      <w:r w:rsidRPr="004C7AE3">
        <w:rPr>
          <w:rFonts w:asciiTheme="majorHAnsi" w:hAnsiTheme="majorHAnsi" w:cs="Arial"/>
          <w:color w:val="auto"/>
        </w:rPr>
        <w:tab/>
        <w:t>C</w:t>
      </w:r>
      <w:r w:rsidRPr="004C7AE3">
        <w:rPr>
          <w:rFonts w:asciiTheme="majorHAnsi" w:hAnsiTheme="majorHAnsi" w:cs="Arial"/>
          <w:color w:val="auto"/>
          <w:vertAlign w:val="subscript"/>
        </w:rPr>
        <w:t>n</w:t>
      </w:r>
      <w:r w:rsidRPr="004C7AE3">
        <w:rPr>
          <w:rFonts w:asciiTheme="majorHAnsi" w:hAnsiTheme="majorHAnsi" w:cs="Arial"/>
          <w:color w:val="auto"/>
        </w:rPr>
        <w:t xml:space="preserve"> </w:t>
      </w:r>
      <w:r>
        <w:rPr>
          <w:rFonts w:asciiTheme="majorHAnsi" w:hAnsiTheme="majorHAnsi" w:cs="Arial"/>
          <w:color w:val="auto"/>
        </w:rPr>
        <w:t xml:space="preserve">  </w:t>
      </w:r>
      <w:r w:rsidRPr="004C7AE3">
        <w:rPr>
          <w:rFonts w:asciiTheme="majorHAnsi" w:hAnsiTheme="majorHAnsi" w:cs="Arial"/>
          <w:color w:val="auto"/>
        </w:rPr>
        <w:t xml:space="preserve">+ </w:t>
      </w:r>
      <w:r>
        <w:rPr>
          <w:rFonts w:asciiTheme="majorHAnsi" w:hAnsiTheme="majorHAnsi" w:cs="Arial"/>
          <w:color w:val="auto"/>
        </w:rPr>
        <w:t xml:space="preserve">   </w:t>
      </w:r>
      <w:r w:rsidRPr="004C7AE3">
        <w:rPr>
          <w:rFonts w:asciiTheme="majorHAnsi" w:hAnsiTheme="majorHAnsi" w:cs="Arial"/>
          <w:color w:val="auto"/>
        </w:rPr>
        <w:t>x Li</w:t>
      </w:r>
      <w:r w:rsidRPr="004C7AE3">
        <w:rPr>
          <w:rFonts w:asciiTheme="majorHAnsi" w:hAnsiTheme="majorHAnsi" w:cs="Arial"/>
          <w:color w:val="auto"/>
          <w:vertAlign w:val="superscript"/>
        </w:rPr>
        <w:t>+</w:t>
      </w:r>
      <w:r w:rsidRPr="004C7AE3">
        <w:rPr>
          <w:rFonts w:asciiTheme="majorHAnsi" w:hAnsiTheme="majorHAnsi" w:cs="Arial"/>
          <w:color w:val="auto"/>
        </w:rPr>
        <w:t xml:space="preserve"> </w:t>
      </w:r>
      <w:r>
        <w:rPr>
          <w:rFonts w:asciiTheme="majorHAnsi" w:hAnsiTheme="majorHAnsi" w:cs="Arial"/>
          <w:color w:val="auto"/>
        </w:rPr>
        <w:t xml:space="preserve">  </w:t>
      </w:r>
      <w:r w:rsidRPr="004C7AE3">
        <w:rPr>
          <w:rFonts w:asciiTheme="majorHAnsi" w:hAnsiTheme="majorHAnsi" w:cs="Arial"/>
          <w:color w:val="auto"/>
        </w:rPr>
        <w:t>+</w:t>
      </w:r>
      <w:r>
        <w:rPr>
          <w:rFonts w:asciiTheme="majorHAnsi" w:hAnsiTheme="majorHAnsi" w:cs="Arial"/>
          <w:color w:val="auto"/>
        </w:rPr>
        <w:t xml:space="preserve">  </w:t>
      </w:r>
      <w:r w:rsidRPr="004C7AE3">
        <w:rPr>
          <w:rFonts w:asciiTheme="majorHAnsi" w:hAnsiTheme="majorHAnsi" w:cs="Arial"/>
          <w:color w:val="auto"/>
        </w:rPr>
        <w:t xml:space="preserve"> x e</w:t>
      </w:r>
      <w:r w:rsidRPr="004C7AE3">
        <w:rPr>
          <w:rFonts w:asciiTheme="majorHAnsi" w:hAnsiTheme="majorHAnsi" w:cs="Arial"/>
          <w:color w:val="auto"/>
          <w:vertAlign w:val="superscript"/>
        </w:rPr>
        <w:t>-</w:t>
      </w:r>
      <w:r w:rsidRPr="004C7AE3">
        <w:rPr>
          <w:rFonts w:asciiTheme="majorHAnsi" w:hAnsiTheme="majorHAnsi" w:cs="Arial"/>
          <w:color w:val="auto"/>
        </w:rPr>
        <w:t xml:space="preserve">   </w:t>
      </w:r>
      <m:oMath>
        <m:r>
          <m:rPr>
            <m:sty m:val="p"/>
          </m:rPr>
          <w:rPr>
            <w:rFonts w:ascii="Cambria Math" w:hAnsi="Cambria Math" w:cs="Lucida Sans Unicode"/>
          </w:rPr>
          <m:t>⇌</m:t>
        </m:r>
      </m:oMath>
      <w:r w:rsidRPr="004C7AE3">
        <w:rPr>
          <w:rFonts w:asciiTheme="majorHAnsi" w:hAnsiTheme="majorHAnsi" w:cs="Arial"/>
          <w:color w:val="auto"/>
        </w:rPr>
        <w:t xml:space="preserve">   Li</w:t>
      </w:r>
      <w:r w:rsidRPr="004C7AE3">
        <w:rPr>
          <w:rFonts w:asciiTheme="majorHAnsi" w:hAnsiTheme="majorHAnsi" w:cs="Arial"/>
          <w:color w:val="auto"/>
          <w:vertAlign w:val="superscript"/>
        </w:rPr>
        <w:t>+</w:t>
      </w:r>
      <w:r w:rsidRPr="004C7AE3">
        <w:rPr>
          <w:rFonts w:asciiTheme="majorHAnsi" w:hAnsiTheme="majorHAnsi" w:cs="Arial"/>
          <w:color w:val="auto"/>
          <w:vertAlign w:val="subscript"/>
        </w:rPr>
        <w:t>x</w:t>
      </w:r>
      <w:r w:rsidRPr="004C7AE3">
        <w:rPr>
          <w:rFonts w:asciiTheme="majorHAnsi" w:hAnsiTheme="majorHAnsi" w:cs="Arial"/>
          <w:color w:val="auto"/>
        </w:rPr>
        <w:t>C</w:t>
      </w:r>
      <w:r w:rsidRPr="004C7AE3">
        <w:rPr>
          <w:rFonts w:asciiTheme="majorHAnsi" w:hAnsiTheme="majorHAnsi" w:cs="Arial"/>
          <w:color w:val="auto"/>
          <w:vertAlign w:val="subscript"/>
        </w:rPr>
        <w:t>n</w:t>
      </w:r>
      <w:r w:rsidRPr="004C7AE3">
        <w:rPr>
          <w:rFonts w:asciiTheme="majorHAnsi" w:hAnsiTheme="majorHAnsi" w:cs="Arial"/>
          <w:color w:val="auto"/>
          <w:vertAlign w:val="superscript"/>
        </w:rPr>
        <w:t>-</w:t>
      </w:r>
    </w:p>
    <w:p w:rsidR="006C0BD6" w:rsidRPr="004C7AE3" w:rsidRDefault="0018478A" w:rsidP="006C0BD6">
      <w:pPr>
        <w:ind w:left="2124" w:firstLine="708"/>
        <w:rPr>
          <w:rFonts w:asciiTheme="majorHAnsi" w:hAnsiTheme="majorHAnsi" w:cs="Arial"/>
          <w:color w:val="auto"/>
        </w:rPr>
      </w:pPr>
      <w:r w:rsidRPr="0018478A">
        <w:rPr>
          <w:rFonts w:asciiTheme="majorHAnsi" w:hAnsiTheme="majorHAnsi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8.15pt;margin-top:21.95pt;width:309.5pt;height:.05pt;z-index:251661312" o:connectortype="straight"/>
        </w:pict>
      </w:r>
      <w:r w:rsidR="006C0BD6" w:rsidRPr="004C7AE3">
        <w:rPr>
          <w:rFonts w:asciiTheme="majorHAnsi" w:hAnsiTheme="majorHAnsi"/>
        </w:rPr>
        <w:t>Pluspol:</w:t>
      </w:r>
      <w:r w:rsidR="006C0BD6" w:rsidRPr="004C7AE3">
        <w:rPr>
          <w:rFonts w:asciiTheme="majorHAnsi" w:hAnsiTheme="majorHAnsi"/>
        </w:rPr>
        <w:tab/>
      </w:r>
      <w:r w:rsidR="006C0BD6" w:rsidRPr="004C7AE3">
        <w:rPr>
          <w:rFonts w:asciiTheme="majorHAnsi" w:hAnsiTheme="majorHAnsi" w:cs="Arial"/>
          <w:color w:val="auto"/>
        </w:rPr>
        <w:t>LiMn</w:t>
      </w:r>
      <w:r w:rsidR="006C0BD6" w:rsidRPr="004C7AE3">
        <w:rPr>
          <w:rFonts w:asciiTheme="majorHAnsi" w:hAnsiTheme="majorHAnsi" w:cs="Arial"/>
          <w:color w:val="auto"/>
          <w:vertAlign w:val="superscript"/>
        </w:rPr>
        <w:t>+III</w:t>
      </w:r>
      <w:r w:rsidR="006C0BD6" w:rsidRPr="004C7AE3">
        <w:rPr>
          <w:rFonts w:asciiTheme="majorHAnsi" w:hAnsiTheme="majorHAnsi" w:cs="Arial"/>
          <w:color w:val="auto"/>
        </w:rPr>
        <w:t xml:space="preserve"> O</w:t>
      </w:r>
      <w:r w:rsidR="006C0BD6" w:rsidRPr="004C7AE3">
        <w:rPr>
          <w:rFonts w:asciiTheme="majorHAnsi" w:hAnsiTheme="majorHAnsi" w:cs="Arial"/>
          <w:color w:val="auto"/>
          <w:vertAlign w:val="subscript"/>
        </w:rPr>
        <w:t>2</w:t>
      </w:r>
      <w:r w:rsidR="006C0BD6" w:rsidRPr="004C7AE3">
        <w:rPr>
          <w:rFonts w:asciiTheme="majorHAnsi" w:hAnsiTheme="majorHAnsi" w:cs="Arial"/>
          <w:color w:val="auto"/>
        </w:rPr>
        <w:t xml:space="preserve">   </w:t>
      </w:r>
      <m:oMath>
        <m:r>
          <m:rPr>
            <m:sty m:val="p"/>
          </m:rPr>
          <w:rPr>
            <w:rFonts w:ascii="Cambria Math" w:hAnsi="Cambria Math" w:cs="Lucida Sans Unicode"/>
          </w:rPr>
          <m:t>⇌</m:t>
        </m:r>
      </m:oMath>
      <w:r w:rsidR="006C0BD6" w:rsidRPr="004C7AE3">
        <w:rPr>
          <w:rFonts w:asciiTheme="majorHAnsi" w:hAnsiTheme="majorHAnsi" w:cs="Arial"/>
          <w:color w:val="auto"/>
        </w:rPr>
        <w:t xml:space="preserve">    Li</w:t>
      </w:r>
      <w:r w:rsidR="006C0BD6" w:rsidRPr="004C7AE3">
        <w:rPr>
          <w:rFonts w:asciiTheme="majorHAnsi" w:hAnsiTheme="majorHAnsi" w:cs="Arial"/>
          <w:color w:val="auto"/>
          <w:vertAlign w:val="subscript"/>
        </w:rPr>
        <w:t>1-x</w:t>
      </w:r>
      <w:r w:rsidR="006C0BD6" w:rsidRPr="004C7AE3">
        <w:rPr>
          <w:rFonts w:asciiTheme="majorHAnsi" w:hAnsiTheme="majorHAnsi" w:cs="Arial"/>
          <w:color w:val="auto"/>
        </w:rPr>
        <w:t>Mn</w:t>
      </w:r>
      <w:r w:rsidR="006C0BD6" w:rsidRPr="004C7AE3">
        <w:rPr>
          <w:rFonts w:asciiTheme="majorHAnsi" w:hAnsiTheme="majorHAnsi" w:cs="Arial"/>
          <w:color w:val="auto"/>
          <w:vertAlign w:val="superscript"/>
        </w:rPr>
        <w:t>+IV</w:t>
      </w:r>
      <w:r w:rsidR="006C0BD6" w:rsidRPr="004C7AE3">
        <w:rPr>
          <w:rFonts w:asciiTheme="majorHAnsi" w:hAnsiTheme="majorHAnsi" w:cs="Arial"/>
          <w:color w:val="auto"/>
        </w:rPr>
        <w:t xml:space="preserve"> O</w:t>
      </w:r>
      <w:r w:rsidR="006C0BD6" w:rsidRPr="004C7AE3">
        <w:rPr>
          <w:rFonts w:asciiTheme="majorHAnsi" w:hAnsiTheme="majorHAnsi" w:cs="Arial"/>
          <w:color w:val="auto"/>
          <w:vertAlign w:val="subscript"/>
        </w:rPr>
        <w:t>2</w:t>
      </w:r>
      <w:r w:rsidR="006C0BD6" w:rsidRPr="004C7AE3">
        <w:rPr>
          <w:rFonts w:asciiTheme="majorHAnsi" w:hAnsiTheme="majorHAnsi" w:cs="Arial"/>
          <w:color w:val="auto"/>
        </w:rPr>
        <w:t xml:space="preserve"> </w:t>
      </w:r>
      <w:r w:rsidR="006C0BD6">
        <w:rPr>
          <w:rFonts w:asciiTheme="majorHAnsi" w:hAnsiTheme="majorHAnsi" w:cs="Arial"/>
          <w:color w:val="auto"/>
        </w:rPr>
        <w:t xml:space="preserve">  </w:t>
      </w:r>
      <w:r w:rsidR="006C0BD6" w:rsidRPr="004C7AE3">
        <w:rPr>
          <w:rFonts w:asciiTheme="majorHAnsi" w:hAnsiTheme="majorHAnsi" w:cs="Arial"/>
          <w:color w:val="auto"/>
        </w:rPr>
        <w:t xml:space="preserve">+ </w:t>
      </w:r>
      <w:r w:rsidR="006C0BD6">
        <w:rPr>
          <w:rFonts w:asciiTheme="majorHAnsi" w:hAnsiTheme="majorHAnsi" w:cs="Arial"/>
          <w:color w:val="auto"/>
        </w:rPr>
        <w:t xml:space="preserve">  </w:t>
      </w:r>
      <w:r w:rsidR="006C0BD6" w:rsidRPr="004C7AE3">
        <w:rPr>
          <w:rFonts w:asciiTheme="majorHAnsi" w:hAnsiTheme="majorHAnsi" w:cs="Arial"/>
          <w:color w:val="auto"/>
        </w:rPr>
        <w:t>x e</w:t>
      </w:r>
      <w:r w:rsidR="006C0BD6" w:rsidRPr="004C7AE3">
        <w:rPr>
          <w:rFonts w:asciiTheme="majorHAnsi" w:hAnsiTheme="majorHAnsi" w:cs="Arial"/>
          <w:color w:val="auto"/>
          <w:vertAlign w:val="superscript"/>
        </w:rPr>
        <w:t>-</w:t>
      </w:r>
      <w:r w:rsidR="006C0BD6" w:rsidRPr="004C7AE3">
        <w:rPr>
          <w:rFonts w:asciiTheme="majorHAnsi" w:hAnsiTheme="majorHAnsi" w:cs="Arial"/>
          <w:color w:val="auto"/>
        </w:rPr>
        <w:t xml:space="preserve"> </w:t>
      </w:r>
      <w:r w:rsidR="006C0BD6">
        <w:rPr>
          <w:rFonts w:asciiTheme="majorHAnsi" w:hAnsiTheme="majorHAnsi" w:cs="Arial"/>
          <w:color w:val="auto"/>
        </w:rPr>
        <w:t xml:space="preserve">  </w:t>
      </w:r>
      <w:r w:rsidR="006C0BD6" w:rsidRPr="004C7AE3">
        <w:rPr>
          <w:rFonts w:asciiTheme="majorHAnsi" w:hAnsiTheme="majorHAnsi" w:cs="Arial"/>
          <w:color w:val="auto"/>
        </w:rPr>
        <w:t>+</w:t>
      </w:r>
      <w:r w:rsidR="006C0BD6">
        <w:rPr>
          <w:rFonts w:asciiTheme="majorHAnsi" w:hAnsiTheme="majorHAnsi" w:cs="Arial"/>
          <w:color w:val="auto"/>
        </w:rPr>
        <w:t xml:space="preserve">  </w:t>
      </w:r>
      <w:r w:rsidR="006C0BD6" w:rsidRPr="004C7AE3">
        <w:rPr>
          <w:rFonts w:asciiTheme="majorHAnsi" w:hAnsiTheme="majorHAnsi" w:cs="Arial"/>
          <w:color w:val="auto"/>
        </w:rPr>
        <w:t xml:space="preserve"> x Li</w:t>
      </w:r>
      <w:r w:rsidR="006C0BD6" w:rsidRPr="004C7AE3">
        <w:rPr>
          <w:rFonts w:asciiTheme="majorHAnsi" w:hAnsiTheme="majorHAnsi" w:cs="Arial"/>
          <w:color w:val="auto"/>
          <w:vertAlign w:val="superscript"/>
        </w:rPr>
        <w:t>+</w:t>
      </w:r>
    </w:p>
    <w:p w:rsidR="006C0BD6" w:rsidRPr="005B6D4A" w:rsidRDefault="006C0BD6" w:rsidP="006C0BD6">
      <w:pPr>
        <w:rPr>
          <w:rFonts w:asciiTheme="majorHAnsi" w:hAnsiTheme="majorHAnsi" w:cs="Arial"/>
          <w:color w:val="auto"/>
        </w:rPr>
      </w:pPr>
      <w:r w:rsidRPr="004C7AE3">
        <w:rPr>
          <w:rFonts w:asciiTheme="majorHAnsi" w:hAnsiTheme="majorHAnsi"/>
        </w:rPr>
        <w:tab/>
      </w:r>
      <w:r w:rsidRPr="004C7AE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B6D4A">
        <w:rPr>
          <w:rFonts w:asciiTheme="majorHAnsi" w:hAnsiTheme="majorHAnsi"/>
        </w:rPr>
        <w:t>Gesam</w:t>
      </w:r>
      <w:r>
        <w:rPr>
          <w:rFonts w:asciiTheme="majorHAnsi" w:hAnsiTheme="majorHAnsi"/>
        </w:rPr>
        <w:t>t:</w:t>
      </w:r>
      <w:r w:rsidRPr="005B6D4A">
        <w:rPr>
          <w:rFonts w:asciiTheme="majorHAnsi" w:hAnsiTheme="majorHAnsi"/>
        </w:rPr>
        <w:tab/>
      </w:r>
      <w:r w:rsidRPr="005B6D4A">
        <w:rPr>
          <w:rFonts w:asciiTheme="majorHAnsi" w:hAnsiTheme="majorHAnsi" w:cs="Arial"/>
          <w:color w:val="auto"/>
        </w:rPr>
        <w:t>LiMn</w:t>
      </w:r>
      <w:r w:rsidRPr="005B6D4A">
        <w:rPr>
          <w:rFonts w:asciiTheme="majorHAnsi" w:hAnsiTheme="majorHAnsi" w:cs="Arial"/>
          <w:color w:val="auto"/>
          <w:vertAlign w:val="superscript"/>
        </w:rPr>
        <w:t>+III</w:t>
      </w:r>
      <w:r w:rsidRPr="005B6D4A">
        <w:rPr>
          <w:rFonts w:asciiTheme="majorHAnsi" w:hAnsiTheme="majorHAnsi" w:cs="Arial"/>
          <w:color w:val="auto"/>
        </w:rPr>
        <w:t xml:space="preserve"> O</w:t>
      </w:r>
      <w:r w:rsidRPr="005B6D4A">
        <w:rPr>
          <w:rFonts w:asciiTheme="majorHAnsi" w:hAnsiTheme="majorHAnsi" w:cs="Arial"/>
          <w:color w:val="auto"/>
          <w:vertAlign w:val="subscript"/>
        </w:rPr>
        <w:t>2</w:t>
      </w:r>
      <w:r w:rsidRPr="005B6D4A">
        <w:rPr>
          <w:rFonts w:asciiTheme="majorHAnsi" w:hAnsiTheme="majorHAnsi" w:cs="Arial"/>
          <w:color w:val="auto"/>
        </w:rPr>
        <w:t xml:space="preserve">   +   C</w:t>
      </w:r>
      <w:r w:rsidRPr="005B6D4A">
        <w:rPr>
          <w:rFonts w:asciiTheme="majorHAnsi" w:hAnsiTheme="majorHAnsi" w:cs="Arial"/>
          <w:color w:val="auto"/>
          <w:vertAlign w:val="subscript"/>
        </w:rPr>
        <w:t>n</w:t>
      </w:r>
      <w:r w:rsidRPr="005B6D4A">
        <w:rPr>
          <w:rFonts w:asciiTheme="majorHAnsi" w:hAnsiTheme="majorHAnsi" w:cs="Arial"/>
          <w:color w:val="auto"/>
        </w:rPr>
        <w:t xml:space="preserve">    </w:t>
      </w:r>
      <m:oMath>
        <m:r>
          <m:rPr>
            <m:sty m:val="p"/>
          </m:rPr>
          <w:rPr>
            <w:rFonts w:ascii="Cambria Math" w:hAnsi="Cambria Math" w:cs="Lucida Sans Unicode"/>
          </w:rPr>
          <m:t>⇌</m:t>
        </m:r>
      </m:oMath>
      <w:r w:rsidRPr="005B6D4A">
        <w:rPr>
          <w:rFonts w:asciiTheme="majorHAnsi" w:eastAsiaTheme="minorEastAsia" w:hAnsiTheme="majorHAnsi" w:cs="Arial"/>
        </w:rPr>
        <w:t xml:space="preserve">    </w:t>
      </w:r>
      <w:r w:rsidRPr="005B6D4A">
        <w:rPr>
          <w:rFonts w:asciiTheme="majorHAnsi" w:hAnsiTheme="majorHAnsi" w:cs="Arial"/>
          <w:color w:val="auto"/>
        </w:rPr>
        <w:t>Li</w:t>
      </w:r>
      <w:r w:rsidRPr="005B6D4A">
        <w:rPr>
          <w:rFonts w:asciiTheme="majorHAnsi" w:hAnsiTheme="majorHAnsi" w:cs="Arial"/>
          <w:color w:val="auto"/>
          <w:vertAlign w:val="subscript"/>
        </w:rPr>
        <w:t>1-x</w:t>
      </w:r>
      <w:r w:rsidRPr="005B6D4A">
        <w:rPr>
          <w:rFonts w:asciiTheme="majorHAnsi" w:hAnsiTheme="majorHAnsi" w:cs="Arial"/>
          <w:color w:val="auto"/>
        </w:rPr>
        <w:t>Mn</w:t>
      </w:r>
      <w:r w:rsidRPr="005B6D4A">
        <w:rPr>
          <w:rFonts w:asciiTheme="majorHAnsi" w:hAnsiTheme="majorHAnsi" w:cs="Arial"/>
          <w:color w:val="auto"/>
          <w:vertAlign w:val="superscript"/>
        </w:rPr>
        <w:t>+IV</w:t>
      </w:r>
      <w:r w:rsidRPr="005B6D4A">
        <w:rPr>
          <w:rFonts w:asciiTheme="majorHAnsi" w:hAnsiTheme="majorHAnsi" w:cs="Arial"/>
          <w:color w:val="auto"/>
        </w:rPr>
        <w:t xml:space="preserve"> O</w:t>
      </w:r>
      <w:r w:rsidRPr="005B6D4A">
        <w:rPr>
          <w:rFonts w:asciiTheme="majorHAnsi" w:hAnsiTheme="majorHAnsi" w:cs="Arial"/>
          <w:color w:val="auto"/>
          <w:vertAlign w:val="subscript"/>
        </w:rPr>
        <w:t>2</w:t>
      </w:r>
      <w:r w:rsidRPr="005B6D4A">
        <w:rPr>
          <w:rFonts w:asciiTheme="majorHAnsi" w:hAnsiTheme="majorHAnsi" w:cs="Arial"/>
          <w:color w:val="auto"/>
        </w:rPr>
        <w:t xml:space="preserve">   +   Li</w:t>
      </w:r>
      <w:r w:rsidRPr="005B6D4A">
        <w:rPr>
          <w:rFonts w:asciiTheme="majorHAnsi" w:hAnsiTheme="majorHAnsi" w:cs="Arial"/>
          <w:color w:val="auto"/>
          <w:vertAlign w:val="superscript"/>
        </w:rPr>
        <w:t>+</w:t>
      </w:r>
      <w:r w:rsidRPr="005B6D4A">
        <w:rPr>
          <w:rFonts w:asciiTheme="majorHAnsi" w:hAnsiTheme="majorHAnsi" w:cs="Arial"/>
          <w:color w:val="auto"/>
          <w:vertAlign w:val="subscript"/>
        </w:rPr>
        <w:t>x</w:t>
      </w:r>
      <w:r w:rsidRPr="005B6D4A">
        <w:rPr>
          <w:rFonts w:asciiTheme="majorHAnsi" w:hAnsiTheme="majorHAnsi" w:cs="Arial"/>
          <w:color w:val="auto"/>
        </w:rPr>
        <w:t>C</w:t>
      </w:r>
      <w:r w:rsidRPr="005B6D4A">
        <w:rPr>
          <w:rFonts w:asciiTheme="majorHAnsi" w:hAnsiTheme="majorHAnsi" w:cs="Arial"/>
          <w:color w:val="auto"/>
          <w:vertAlign w:val="subscript"/>
        </w:rPr>
        <w:t>n</w:t>
      </w:r>
      <w:r w:rsidRPr="005B6D4A">
        <w:rPr>
          <w:rFonts w:asciiTheme="majorHAnsi" w:hAnsiTheme="majorHAnsi" w:cs="Arial"/>
          <w:color w:val="auto"/>
          <w:vertAlign w:val="superscript"/>
        </w:rPr>
        <w:t>-</w:t>
      </w:r>
    </w:p>
    <w:p w:rsidR="006C0BD6" w:rsidRDefault="006C0BD6" w:rsidP="006C0BD6">
      <w:pPr>
        <w:ind w:left="1985" w:hanging="1985"/>
        <w:jc w:val="left"/>
      </w:pPr>
      <w:r>
        <w:t>Entsorgung:</w:t>
      </w:r>
      <w:r>
        <w:tab/>
        <w:t>Das Paraffinöl und das Propylencarbonat werden in den Sammelbehälter für organische Lösungsmittel gegeben. Die Graphitelektroden werden nicht wieder verwendet und in den Feststoffabfall gegeben.</w:t>
      </w:r>
    </w:p>
    <w:p w:rsidR="006C0BD6" w:rsidRPr="00481DDD" w:rsidRDefault="0018478A" w:rsidP="006C0BD6">
      <w:pPr>
        <w:ind w:left="1985" w:hanging="1985"/>
        <w:rPr>
          <w:rFonts w:ascii="Cambria Math" w:eastAsia="Times New Roman" w:hAnsi="Cambria Math" w:cs="Times New Roman"/>
          <w:color w:val="auto"/>
          <w:szCs w:val="24"/>
          <w:lang w:eastAsia="de-DE"/>
        </w:rPr>
      </w:pPr>
      <w:r w:rsidRPr="0018478A">
        <w:rPr>
          <w:rFonts w:eastAsiaTheme="minorEastAsia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3.2pt;width:456.25pt;height:84pt;z-index:251660288;mso-position-horizontal:center;mso-position-horizontal-relative:margin;mso-width-relative:margin;mso-height-relative:margin" strokecolor="#c0504d" strokeweight="1pt">
            <v:stroke dashstyle="dash"/>
            <v:shadow color="#868686"/>
            <v:textbox style="mso-next-textbox:#_x0000_s1026">
              <w:txbxContent>
                <w:p w:rsidR="006C0BD6" w:rsidRDefault="006C0BD6" w:rsidP="006C0BD6">
                  <w:pPr>
                    <w:spacing w:after="0"/>
                  </w:pPr>
                  <w:r>
                    <w:t xml:space="preserve">Achtung: Der Akkumulator darf auf keinen Fall austrocknen, da sonst Lithiumperchlorat ausfällt, das hoch explosiv ist. </w:t>
                  </w:r>
                </w:p>
                <w:p w:rsidR="006C0BD6" w:rsidRPr="00756D51" w:rsidRDefault="006C0BD6" w:rsidP="006C0BD6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Arial"/>
                      <w:color w:val="auto"/>
                    </w:rPr>
                    <w:t>Aufgrund der Komplexität sollten die Reaktionsgleichungen in der Mittelstufe ausgelassen werden.</w:t>
                  </w:r>
                </w:p>
              </w:txbxContent>
            </v:textbox>
            <w10:wrap type="square" anchorx="margin"/>
          </v:shape>
        </w:pict>
      </w:r>
      <w:r w:rsidR="006C0BD6">
        <w:t>Literatur:</w:t>
      </w:r>
      <w:r w:rsidR="006C0BD6">
        <w:tab/>
      </w:r>
      <w:r w:rsidR="006C0BD6" w:rsidRPr="00481DDD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Prof. Dr. M. Oetken: Experimentierkoffer Lithium-Ionen-Akkumulator </w:t>
      </w:r>
      <w:r w:rsidR="006C0BD6" w:rsidRPr="00481DDD">
        <w:rPr>
          <w:rFonts w:ascii="Cambria Math" w:eastAsia="Times New Roman" w:hAnsi="Cambria Math" w:cs="Times New Roman"/>
          <w:b/>
          <w:color w:val="auto"/>
          <w:szCs w:val="24"/>
          <w:lang w:eastAsia="de-DE"/>
        </w:rPr>
        <w:t>2012</w:t>
      </w:r>
      <w:r w:rsidR="006C0BD6" w:rsidRPr="00481DDD">
        <w:rPr>
          <w:rFonts w:ascii="Cambria Math" w:eastAsia="Times New Roman" w:hAnsi="Cambria Math" w:cs="Times New Roman"/>
          <w:color w:val="auto"/>
          <w:szCs w:val="24"/>
          <w:lang w:eastAsia="de-DE"/>
        </w:rPr>
        <w:t>.</w:t>
      </w:r>
    </w:p>
    <w:p w:rsidR="006C0BD6" w:rsidRDefault="006C0BD6" w:rsidP="006C0BD6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2D0ED9" w:rsidRDefault="002D0ED9"/>
    <w:sectPr w:rsidR="002D0ED9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0BD6"/>
    <w:rsid w:val="0018478A"/>
    <w:rsid w:val="002D0ED9"/>
    <w:rsid w:val="003514D8"/>
    <w:rsid w:val="00481DDD"/>
    <w:rsid w:val="006C0BD6"/>
    <w:rsid w:val="00717EFF"/>
    <w:rsid w:val="007A4199"/>
    <w:rsid w:val="007E31DB"/>
    <w:rsid w:val="008F358C"/>
    <w:rsid w:val="009B23A5"/>
    <w:rsid w:val="00EE7EF2"/>
    <w:rsid w:val="00FD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0BD6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6C0BD6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BD6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3</cp:revision>
  <dcterms:created xsi:type="dcterms:W3CDTF">2015-08-18T12:41:00Z</dcterms:created>
  <dcterms:modified xsi:type="dcterms:W3CDTF">2015-08-20T10:54:00Z</dcterms:modified>
</cp:coreProperties>
</file>