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60" w:rsidRPr="00D56860" w:rsidRDefault="00D56860" w:rsidP="00D56860">
      <w:pPr>
        <w:rPr>
          <w:b/>
        </w:rPr>
      </w:pPr>
      <w:r w:rsidRPr="00D56860">
        <w:rPr>
          <w:b/>
        </w:rPr>
        <w:t>Kupfersulfat als Energiespeicher</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6860" w:rsidRPr="009C5E28" w:rsidTr="00112A7E">
        <w:tc>
          <w:tcPr>
            <w:tcW w:w="9322" w:type="dxa"/>
            <w:gridSpan w:val="9"/>
            <w:shd w:val="clear" w:color="auto" w:fill="4F81BD"/>
            <w:vAlign w:val="center"/>
          </w:tcPr>
          <w:p w:rsidR="00D56860" w:rsidRPr="00F31EBF" w:rsidRDefault="00D56860" w:rsidP="00112A7E">
            <w:pPr>
              <w:spacing w:after="0"/>
              <w:jc w:val="center"/>
              <w:rPr>
                <w:b/>
                <w:bCs/>
                <w:color w:val="FFFFFF" w:themeColor="background1"/>
              </w:rPr>
            </w:pPr>
            <w:r w:rsidRPr="00F31EBF">
              <w:rPr>
                <w:b/>
                <w:bCs/>
                <w:color w:val="FFFFFF" w:themeColor="background1"/>
              </w:rPr>
              <w:t>Gefahrenstoffe</w:t>
            </w:r>
          </w:p>
        </w:tc>
      </w:tr>
      <w:tr w:rsidR="00D56860" w:rsidRPr="009C5E28" w:rsidTr="00112A7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56860" w:rsidRPr="009C5E28" w:rsidRDefault="00D56860" w:rsidP="00112A7E">
            <w:pPr>
              <w:spacing w:after="0"/>
              <w:jc w:val="center"/>
              <w:rPr>
                <w:b/>
                <w:bCs/>
              </w:rPr>
            </w:pPr>
            <w:r>
              <w:rPr>
                <w:sz w:val="20"/>
              </w:rPr>
              <w:t>Kupfersulfat</w:t>
            </w:r>
          </w:p>
        </w:tc>
        <w:tc>
          <w:tcPr>
            <w:tcW w:w="3177" w:type="dxa"/>
            <w:gridSpan w:val="3"/>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sz w:val="20"/>
              </w:rPr>
              <w:t>H: 302 - 315 - 319 - 410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6860" w:rsidRPr="009C5E28" w:rsidRDefault="00D56860" w:rsidP="00112A7E">
            <w:pPr>
              <w:spacing w:after="0"/>
              <w:jc w:val="center"/>
            </w:pPr>
            <w:r>
              <w:rPr>
                <w:sz w:val="20"/>
              </w:rPr>
              <w:t>P: 273 - 305+351+338 - 302+352</w:t>
            </w:r>
          </w:p>
        </w:tc>
      </w:tr>
      <w:tr w:rsidR="00D56860" w:rsidRPr="009C5E28" w:rsidTr="00112A7E">
        <w:tc>
          <w:tcPr>
            <w:tcW w:w="1009" w:type="dxa"/>
            <w:tcBorders>
              <w:top w:val="single" w:sz="8" w:space="0" w:color="4F81BD"/>
              <w:left w:val="single" w:sz="8" w:space="0" w:color="4F81BD"/>
              <w:bottom w:val="single" w:sz="8" w:space="0" w:color="4F81BD"/>
            </w:tcBorders>
            <w:shd w:val="clear" w:color="auto" w:fill="auto"/>
            <w:vAlign w:val="center"/>
          </w:tcPr>
          <w:p w:rsidR="00D56860" w:rsidRPr="009C5E28" w:rsidRDefault="00D56860" w:rsidP="00112A7E">
            <w:pPr>
              <w:spacing w:after="0"/>
              <w:jc w:val="center"/>
              <w:rPr>
                <w:b/>
                <w:bCs/>
              </w:rPr>
            </w:pPr>
            <w:r>
              <w:rPr>
                <w:b/>
                <w:noProof/>
                <w:lang w:eastAsia="de-DE"/>
              </w:rPr>
              <w:drawing>
                <wp:inline distT="0" distB="0" distL="0" distR="0">
                  <wp:extent cx="504000" cy="504000"/>
                  <wp:effectExtent l="19050" t="0" r="0" b="0"/>
                  <wp:docPr id="2"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3496" cy="503496"/>
                  <wp:effectExtent l="19050" t="0" r="0" b="0"/>
                  <wp:docPr id="5"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190" cy="504190"/>
                  <wp:effectExtent l="0" t="0" r="0" b="0"/>
                  <wp:docPr id="1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190" cy="504190"/>
                  <wp:effectExtent l="0" t="0" r="0" b="0"/>
                  <wp:docPr id="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000" cy="504000"/>
                  <wp:effectExtent l="19050" t="0" r="0" b="0"/>
                  <wp:docPr id="15"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190" cy="504190"/>
                  <wp:effectExtent l="0" t="0" r="0" b="0"/>
                  <wp:docPr id="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000" cy="504000"/>
                  <wp:effectExtent l="19050" t="0" r="0" b="0"/>
                  <wp:docPr id="17"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6860" w:rsidRPr="009C5E28" w:rsidRDefault="00D56860" w:rsidP="00112A7E">
            <w:pPr>
              <w:spacing w:after="0"/>
              <w:jc w:val="center"/>
            </w:pPr>
            <w:r>
              <w:rPr>
                <w:noProof/>
                <w:lang w:eastAsia="de-DE"/>
              </w:rPr>
              <w:drawing>
                <wp:inline distT="0" distB="0" distL="0" distR="0">
                  <wp:extent cx="504190" cy="504190"/>
                  <wp:effectExtent l="19050" t="0" r="0" b="0"/>
                  <wp:docPr id="1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D56860" w:rsidRDefault="00D56860" w:rsidP="00D56860">
      <w:pPr>
        <w:tabs>
          <w:tab w:val="left" w:pos="1701"/>
          <w:tab w:val="left" w:pos="1985"/>
        </w:tabs>
        <w:ind w:left="1980" w:hanging="1980"/>
      </w:pPr>
    </w:p>
    <w:p w:rsidR="00D56860" w:rsidRDefault="00D56860" w:rsidP="00D56860">
      <w:pPr>
        <w:tabs>
          <w:tab w:val="left" w:pos="1701"/>
          <w:tab w:val="left" w:pos="1985"/>
        </w:tabs>
        <w:ind w:left="1980" w:hanging="1980"/>
      </w:pPr>
      <w:r>
        <w:t xml:space="preserve">Materialien: </w:t>
      </w:r>
      <w:r>
        <w:tab/>
      </w:r>
      <w:r>
        <w:tab/>
        <w:t>Dreifuß, Drahtnetz, Bunsenbrenner, Abdampfschale, Magnetrührer, Kal</w:t>
      </w:r>
      <w:r>
        <w:t>o</w:t>
      </w:r>
      <w:r>
        <w:t>rimeter, Digitalthermometer, Spritzflasche, Exsikkator.</w:t>
      </w:r>
    </w:p>
    <w:p w:rsidR="00D56860" w:rsidRPr="00ED07C2" w:rsidRDefault="00D56860" w:rsidP="00D56860">
      <w:pPr>
        <w:tabs>
          <w:tab w:val="left" w:pos="1701"/>
          <w:tab w:val="left" w:pos="1985"/>
        </w:tabs>
        <w:ind w:left="1980" w:hanging="1980"/>
      </w:pPr>
      <w:r>
        <w:t>Chemikalien:</w:t>
      </w:r>
      <w:r>
        <w:tab/>
      </w:r>
      <w:r>
        <w:tab/>
        <w:t>Kupfersulfat, destilliertes Wasser.</w:t>
      </w:r>
    </w:p>
    <w:p w:rsidR="00D56860" w:rsidRDefault="00D56860" w:rsidP="00D56860">
      <w:pPr>
        <w:tabs>
          <w:tab w:val="left" w:pos="1701"/>
          <w:tab w:val="left" w:pos="1985"/>
        </w:tabs>
        <w:ind w:left="1980" w:hanging="1980"/>
      </w:pPr>
      <w:r>
        <w:t>Durchführung:</w:t>
      </w:r>
      <w:r>
        <w:tab/>
      </w:r>
      <w:r>
        <w:tab/>
        <w:t>14 g wasserfreies Kupfersulfat werden in einer Abdampfschale erhitzt, bis das Kupfersulfat vollständig farblos und fein pulvrig ist. Die Abdampfschale wird in einen Exsikkator gestellt bis das Kupfersulfat abgekühlt ist, damit keine Feuchtigkeit absorbiert wird. Dann wird das Kupfersulfat in das K</w:t>
      </w:r>
      <w:r>
        <w:t>a</w:t>
      </w:r>
      <w:r>
        <w:t>lorimeter gegeben und unter Rühren werden 10 mL destilliertes Wasser hinzugefügt.</w:t>
      </w:r>
    </w:p>
    <w:p w:rsidR="00D56860" w:rsidRDefault="00D56860" w:rsidP="00D56860">
      <w:pPr>
        <w:tabs>
          <w:tab w:val="left" w:pos="1701"/>
          <w:tab w:val="left" w:pos="1985"/>
        </w:tabs>
        <w:spacing w:after="0"/>
        <w:ind w:left="1980" w:hanging="1980"/>
      </w:pPr>
      <w:r>
        <w:t>Beobachtung:</w:t>
      </w:r>
      <w:r>
        <w:tab/>
      </w:r>
      <w:r>
        <w:tab/>
        <w:t>Die Temperatur steigt im Kalorimeter von 26 °C bis auf 62 °C. Das Kupfe</w:t>
      </w:r>
      <w:r>
        <w:t>r</w:t>
      </w:r>
      <w:r>
        <w:t>sulfat im Kalorimeter färbt sich blau.</w:t>
      </w:r>
    </w:p>
    <w:p w:rsidR="00D56860" w:rsidRDefault="00D56860" w:rsidP="00D56860">
      <w:pPr>
        <w:keepNext/>
        <w:tabs>
          <w:tab w:val="left" w:pos="1701"/>
          <w:tab w:val="left" w:pos="1985"/>
        </w:tabs>
        <w:ind w:left="1980" w:hanging="1980"/>
        <w:jc w:val="center"/>
      </w:pPr>
      <w:r>
        <w:rPr>
          <w:noProof/>
          <w:lang w:eastAsia="de-DE"/>
        </w:rPr>
        <w:drawing>
          <wp:inline distT="0" distB="0" distL="0" distR="0">
            <wp:extent cx="2880000" cy="1905987"/>
            <wp:effectExtent l="0" t="495300" r="0" b="475263"/>
            <wp:docPr id="19"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14" cstate="print"/>
                    <a:srcRect l="10784" t="15057" r="7876" b="12865"/>
                    <a:stretch>
                      <a:fillRect/>
                    </a:stretch>
                  </pic:blipFill>
                  <pic:spPr bwMode="auto">
                    <a:xfrm rot="5400000">
                      <a:off x="0" y="0"/>
                      <a:ext cx="2880000" cy="1905987"/>
                    </a:xfrm>
                    <a:prstGeom prst="rect">
                      <a:avLst/>
                    </a:prstGeom>
                    <a:noFill/>
                    <a:ln w="9525">
                      <a:noFill/>
                      <a:miter lim="800000"/>
                      <a:headEnd/>
                      <a:tailEnd/>
                    </a:ln>
                  </pic:spPr>
                </pic:pic>
              </a:graphicData>
            </a:graphic>
          </wp:inline>
        </w:drawing>
      </w:r>
    </w:p>
    <w:p w:rsidR="00D56860" w:rsidRPr="00247452" w:rsidRDefault="00D56860" w:rsidP="00D56860">
      <w:pPr>
        <w:pStyle w:val="Beschriftung"/>
        <w:spacing w:line="360" w:lineRule="auto"/>
        <w:jc w:val="center"/>
      </w:pPr>
      <w:r>
        <w:t>Abb. 2</w:t>
      </w:r>
      <w:r w:rsidRPr="00247452">
        <w:t xml:space="preserve"> – </w:t>
      </w:r>
      <w:r>
        <w:rPr>
          <w:noProof/>
        </w:rPr>
        <w:t>Durch Wasserzugabe nimmt die Temperatur im Kalorimeter zu</w:t>
      </w:r>
      <w:r w:rsidRPr="00247452">
        <w:rPr>
          <w:noProof/>
        </w:rPr>
        <w:t>.</w:t>
      </w:r>
    </w:p>
    <w:p w:rsidR="00D56860" w:rsidRDefault="00D56860" w:rsidP="00D56860">
      <w:pPr>
        <w:tabs>
          <w:tab w:val="left" w:pos="1701"/>
          <w:tab w:val="left" w:pos="1985"/>
        </w:tabs>
        <w:ind w:left="1985" w:hanging="1985"/>
      </w:pPr>
      <w:r>
        <w:t>Deutung:</w:t>
      </w:r>
      <w:r>
        <w:tab/>
      </w:r>
      <w:r>
        <w:tab/>
        <w:t xml:space="preserve">Bei der Zugabe von Wasser bildet sich eine Hydrathülle. Die Bildung der Hydrathülle ist ein stark exothermer Prozess, wobei chemische Energie in Form von Wärme frei wird. </w:t>
      </w:r>
    </w:p>
    <w:p w:rsidR="00D56860" w:rsidRDefault="00D56860" w:rsidP="00D56860">
      <w:pPr>
        <w:tabs>
          <w:tab w:val="left" w:pos="1701"/>
          <w:tab w:val="left" w:pos="1985"/>
        </w:tabs>
        <w:ind w:left="1985" w:hanging="1985"/>
        <w:rPr>
          <w:lang w:val="en-US"/>
        </w:rPr>
      </w:pPr>
      <w:r>
        <w:lastRenderedPageBreak/>
        <w:tab/>
      </w:r>
      <w:r>
        <w:tab/>
      </w:r>
      <w:r w:rsidRPr="009922E2">
        <w:rPr>
          <w:lang w:val="en-US"/>
        </w:rPr>
        <w:t>CuSO</w:t>
      </w:r>
      <w:r w:rsidRPr="009922E2">
        <w:rPr>
          <w:vertAlign w:val="subscript"/>
          <w:lang w:val="en-US"/>
        </w:rPr>
        <w:t>4</w:t>
      </w:r>
      <w:r w:rsidRPr="009922E2">
        <w:rPr>
          <w:lang w:val="en-US"/>
        </w:rPr>
        <w:t xml:space="preserve"> </w:t>
      </w:r>
      <w:r w:rsidRPr="009922E2">
        <w:rPr>
          <w:vertAlign w:val="subscript"/>
          <w:lang w:val="en-US"/>
        </w:rPr>
        <w:t>(s)</w:t>
      </w:r>
      <w:r w:rsidRPr="009922E2">
        <w:rPr>
          <w:lang w:val="en-US"/>
        </w:rPr>
        <w:t xml:space="preserve">   +   5 H</w:t>
      </w:r>
      <w:r w:rsidRPr="009922E2">
        <w:rPr>
          <w:vertAlign w:val="subscript"/>
          <w:lang w:val="en-US"/>
        </w:rPr>
        <w:t>2</w:t>
      </w:r>
      <w:r w:rsidRPr="009922E2">
        <w:rPr>
          <w:lang w:val="en-US"/>
        </w:rPr>
        <w:t xml:space="preserve">O </w:t>
      </w:r>
      <w:r w:rsidRPr="009922E2">
        <w:rPr>
          <w:vertAlign w:val="subscript"/>
          <w:lang w:val="en-US"/>
        </w:rPr>
        <w:t>(l)</w:t>
      </w:r>
      <w:r w:rsidRPr="009922E2">
        <w:rPr>
          <w:lang w:val="en-US"/>
        </w:rPr>
        <w:t xml:space="preserve">   →   Cu</w:t>
      </w:r>
      <w:r>
        <w:rPr>
          <w:lang w:val="en-US"/>
        </w:rPr>
        <w:t>SO</w:t>
      </w:r>
      <w:r w:rsidRPr="009922E2">
        <w:rPr>
          <w:vertAlign w:val="subscript"/>
          <w:lang w:val="en-US"/>
        </w:rPr>
        <w:t>4</w:t>
      </w:r>
      <w:r>
        <w:rPr>
          <w:lang w:val="en-US"/>
        </w:rPr>
        <w:t xml:space="preserve"> ∙ 5 H</w:t>
      </w:r>
      <w:r w:rsidRPr="009922E2">
        <w:rPr>
          <w:vertAlign w:val="subscript"/>
          <w:lang w:val="en-US"/>
        </w:rPr>
        <w:t>2</w:t>
      </w:r>
      <w:r>
        <w:rPr>
          <w:lang w:val="en-US"/>
        </w:rPr>
        <w:t xml:space="preserve">O </w:t>
      </w:r>
      <w:r w:rsidRPr="009922E2">
        <w:rPr>
          <w:vertAlign w:val="subscript"/>
          <w:lang w:val="en-US"/>
        </w:rPr>
        <w:t>(s)</w:t>
      </w:r>
    </w:p>
    <w:p w:rsidR="00D56860" w:rsidRPr="009922E2" w:rsidRDefault="00D56860" w:rsidP="00D56860">
      <w:pPr>
        <w:tabs>
          <w:tab w:val="left" w:pos="1701"/>
          <w:tab w:val="left" w:pos="1985"/>
        </w:tabs>
        <w:ind w:left="1985" w:hanging="1985"/>
      </w:pPr>
      <w:r>
        <w:rPr>
          <w:lang w:val="en-US"/>
        </w:rPr>
        <w:tab/>
      </w:r>
      <w:r>
        <w:rPr>
          <w:lang w:val="en-US"/>
        </w:rPr>
        <w:tab/>
      </w:r>
      <w:r w:rsidRPr="009922E2">
        <w:t>Der Versuch zeigt, dass i</w:t>
      </w:r>
      <w:r>
        <w:t>n Kupfersulfat sehr viel Energie in Form von ch</w:t>
      </w:r>
      <w:r>
        <w:t>e</w:t>
      </w:r>
      <w:r>
        <w:t>mischer Energie gespeichert werden kann und dass Kupfersulfat ohne Is</w:t>
      </w:r>
      <w:r>
        <w:t>o</w:t>
      </w:r>
      <w:r>
        <w:t>lierung problemlos ohne Energieverluste gespeichert werden kann.</w:t>
      </w:r>
    </w:p>
    <w:p w:rsidR="00D56860" w:rsidRDefault="00D56860" w:rsidP="00D56860">
      <w:pPr>
        <w:ind w:left="1985" w:hanging="1985"/>
        <w:jc w:val="left"/>
      </w:pPr>
      <w:r>
        <w:t>Entsorgung:</w:t>
      </w:r>
      <w:r>
        <w:tab/>
        <w:t>Das Kupfersulfat wird gesammelt und kann wieder verwendet werden.</w:t>
      </w:r>
    </w:p>
    <w:p w:rsidR="00D56860" w:rsidRDefault="00D56860" w:rsidP="00D56860">
      <w:pPr>
        <w:spacing w:after="0"/>
        <w:ind w:left="1985" w:hanging="1985"/>
        <w:rPr>
          <w:rFonts w:eastAsiaTheme="minorEastAsia"/>
        </w:rPr>
      </w:pPr>
      <w:r>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0;margin-top:31.7pt;width:456.25pt;height:28.9pt;z-index:251660288;mso-position-horizontal:center;mso-position-horizontal-relative:margin;mso-width-relative:margin;mso-height-relative:margin" strokecolor="#c0504d" strokeweight="1pt">
            <v:stroke dashstyle="dash"/>
            <v:shadow color="#868686"/>
            <v:textbox style="mso-next-textbox:#_x0000_s1026">
              <w:txbxContent>
                <w:p w:rsidR="00D56860" w:rsidRPr="009922E2" w:rsidRDefault="00D56860" w:rsidP="00D56860">
                  <w:pPr>
                    <w:tabs>
                      <w:tab w:val="left" w:pos="1701"/>
                      <w:tab w:val="left" w:pos="1985"/>
                    </w:tabs>
                    <w:ind w:left="1985" w:hanging="1985"/>
                  </w:pPr>
                  <w:r>
                    <w:t>Achtung: Bei zu starkem Erhitzen zersetzt sich Kupfersulfat in Kupferoxid!</w:t>
                  </w:r>
                </w:p>
                <w:p w:rsidR="00D56860" w:rsidRPr="009922E2" w:rsidRDefault="00D56860" w:rsidP="00D56860">
                  <w:pPr>
                    <w:spacing w:after="0"/>
                  </w:pPr>
                </w:p>
              </w:txbxContent>
            </v:textbox>
            <w10:wrap type="square" anchorx="margin"/>
          </v:shape>
        </w:pict>
      </w:r>
      <w:r>
        <w:t>Literatur:</w:t>
      </w:r>
      <w:r>
        <w:tab/>
        <w:t>-</w:t>
      </w:r>
    </w:p>
    <w:p w:rsidR="00D56860" w:rsidRDefault="00D56860" w:rsidP="00D56860"/>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56860"/>
    <w:rsid w:val="002D0ED9"/>
    <w:rsid w:val="003514D8"/>
    <w:rsid w:val="00525DC6"/>
    <w:rsid w:val="00717EFF"/>
    <w:rsid w:val="007A4199"/>
    <w:rsid w:val="007E31DB"/>
    <w:rsid w:val="00D56860"/>
    <w:rsid w:val="00E445B3"/>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6860"/>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D5686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568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6860"/>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1258</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1</cp:revision>
  <dcterms:created xsi:type="dcterms:W3CDTF">2015-08-18T12:51:00Z</dcterms:created>
  <dcterms:modified xsi:type="dcterms:W3CDTF">2015-08-18T12:52:00Z</dcterms:modified>
</cp:coreProperties>
</file>