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C0" w:rsidRDefault="00A06AC0" w:rsidP="00A06AC0">
      <w:pPr>
        <w:rPr>
          <w:b/>
        </w:rPr>
      </w:pPr>
      <w:r>
        <w:rPr>
          <w:b/>
        </w:rPr>
        <w:t>Speicherwachs</w:t>
      </w:r>
    </w:p>
    <w:p w:rsidR="00A06AC0" w:rsidRDefault="00A06AC0" w:rsidP="00A06AC0">
      <w:pPr>
        <w:tabs>
          <w:tab w:val="left" w:pos="1701"/>
          <w:tab w:val="left" w:pos="1985"/>
        </w:tabs>
        <w:ind w:left="1980" w:hanging="1980"/>
      </w:pPr>
      <w:r>
        <w:t xml:space="preserve">Materialien: </w:t>
      </w:r>
      <w:r>
        <w:tab/>
      </w:r>
      <w:r>
        <w:tab/>
        <w:t>Bunsenbrenner, Dreifuß mit Drahtnetz, Thermometer für Temperaturen bis 130 °C, Stativ, Gummischlauch, Teelicht.</w:t>
      </w:r>
    </w:p>
    <w:p w:rsidR="00A06AC0" w:rsidRPr="00ED07C2" w:rsidRDefault="00A06AC0" w:rsidP="00A06AC0">
      <w:pPr>
        <w:tabs>
          <w:tab w:val="left" w:pos="1701"/>
          <w:tab w:val="left" w:pos="1985"/>
        </w:tabs>
        <w:ind w:left="1980" w:hanging="1980"/>
      </w:pPr>
      <w:r>
        <w:t>Chemikalien:</w:t>
      </w:r>
      <w:r>
        <w:tab/>
      </w:r>
      <w:r>
        <w:tab/>
        <w:t>-</w:t>
      </w:r>
    </w:p>
    <w:p w:rsidR="00A06AC0" w:rsidRDefault="00A06AC0" w:rsidP="00A06AC0">
      <w:pPr>
        <w:tabs>
          <w:tab w:val="left" w:pos="1701"/>
          <w:tab w:val="left" w:pos="1985"/>
        </w:tabs>
        <w:ind w:left="1980" w:hanging="1980"/>
      </w:pPr>
      <w:r>
        <w:t>Durchführung:</w:t>
      </w:r>
      <w:r>
        <w:tab/>
      </w:r>
      <w:r>
        <w:tab/>
        <w:t>Aus einem Teelicht wird der Docht entfernt und auf einem Dreifuß erhitzt bis es vollständig in flüssiger Form vorliegt. Dann wird das Thermometer in das Kerzenwachs gestellt und mit einem Stativ fixiert. Der Temperaturverlauf wird in fünfminütigen Intervallen verfolgt, bis das Thermometer 30 °C anzeigt. Damit das Thermometer beim Herausnehmen aus dem Wachs nicht zerbricht, sollte es zunächst leicht gedreht werden, bevor es vorsichtig herausgezogen wird.</w:t>
      </w:r>
    </w:p>
    <w:p w:rsidR="00A06AC0" w:rsidRDefault="00A06AC0" w:rsidP="00A06AC0">
      <w:pPr>
        <w:keepNext/>
        <w:tabs>
          <w:tab w:val="left" w:pos="1701"/>
          <w:tab w:val="left" w:pos="1985"/>
        </w:tabs>
        <w:ind w:left="1980" w:hanging="1980"/>
        <w:jc w:val="center"/>
      </w:pPr>
      <w:r>
        <w:rPr>
          <w:noProof/>
          <w:lang w:eastAsia="de-DE"/>
        </w:rPr>
        <w:drawing>
          <wp:inline distT="0" distB="0" distL="0" distR="0">
            <wp:extent cx="1504950" cy="1981200"/>
            <wp:effectExtent l="19050" t="0" r="0" b="0"/>
            <wp:docPr id="6"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5" cstate="print"/>
                    <a:srcRect l="33480" t="8235" r="14317"/>
                    <a:stretch>
                      <a:fillRect/>
                    </a:stretch>
                  </pic:blipFill>
                  <pic:spPr bwMode="auto">
                    <a:xfrm>
                      <a:off x="0" y="0"/>
                      <a:ext cx="1504950" cy="1981200"/>
                    </a:xfrm>
                    <a:prstGeom prst="rect">
                      <a:avLst/>
                    </a:prstGeom>
                    <a:noFill/>
                    <a:ln w="9525">
                      <a:noFill/>
                      <a:miter lim="800000"/>
                      <a:headEnd/>
                      <a:tailEnd/>
                    </a:ln>
                  </pic:spPr>
                </pic:pic>
              </a:graphicData>
            </a:graphic>
          </wp:inline>
        </w:drawing>
      </w:r>
    </w:p>
    <w:p w:rsidR="00A06AC0" w:rsidRPr="00247452" w:rsidRDefault="00A06AC0" w:rsidP="00A06AC0">
      <w:pPr>
        <w:pStyle w:val="Beschriftung"/>
        <w:jc w:val="center"/>
      </w:pPr>
      <w:r>
        <w:t>Abb. 4</w:t>
      </w:r>
      <w:r w:rsidRPr="00247452">
        <w:t xml:space="preserve"> – </w:t>
      </w:r>
      <w:r>
        <w:rPr>
          <w:noProof/>
        </w:rPr>
        <w:t>Versuchsaufbau zur Verfolgung der Temperatur des Wachses</w:t>
      </w:r>
      <w:r w:rsidRPr="00247452">
        <w:rPr>
          <w:noProof/>
        </w:rPr>
        <w:t>.</w:t>
      </w:r>
    </w:p>
    <w:p w:rsidR="00A06AC0" w:rsidRDefault="00A06AC0" w:rsidP="00A06AC0">
      <w:pPr>
        <w:tabs>
          <w:tab w:val="left" w:pos="1701"/>
          <w:tab w:val="left" w:pos="1985"/>
        </w:tabs>
        <w:ind w:left="1980" w:hanging="1980"/>
      </w:pPr>
      <w:r>
        <w:t>Beobachtung:</w:t>
      </w:r>
      <w:r>
        <w:tab/>
      </w:r>
      <w:r>
        <w:tab/>
      </w:r>
      <w:r>
        <w:tab/>
        <w:t>Die folgende Grafik stellt den Temperaturverlauf des Kerzenwachses nach dem Erhitze dar:</w:t>
      </w:r>
    </w:p>
    <w:p w:rsidR="00A06AC0" w:rsidRDefault="00A06AC0" w:rsidP="00A06AC0">
      <w:pPr>
        <w:keepNext/>
        <w:tabs>
          <w:tab w:val="left" w:pos="1701"/>
          <w:tab w:val="left" w:pos="1985"/>
        </w:tabs>
        <w:ind w:left="1980" w:hanging="1980"/>
        <w:jc w:val="center"/>
      </w:pPr>
      <w:r w:rsidRPr="008D2060">
        <w:rPr>
          <w:noProof/>
          <w:lang w:eastAsia="de-DE"/>
        </w:rPr>
        <w:drawing>
          <wp:inline distT="0" distB="0" distL="0" distR="0">
            <wp:extent cx="3771900" cy="1771650"/>
            <wp:effectExtent l="19050" t="0" r="19050" b="0"/>
            <wp:docPr id="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06AC0" w:rsidRPr="00040ABB" w:rsidRDefault="00A06AC0" w:rsidP="00A06AC0">
      <w:pPr>
        <w:tabs>
          <w:tab w:val="left" w:pos="1701"/>
          <w:tab w:val="left" w:pos="1985"/>
        </w:tabs>
        <w:ind w:left="1985" w:hanging="1985"/>
        <w:rPr>
          <w:rFonts w:eastAsiaTheme="minorEastAsia"/>
        </w:rPr>
      </w:pPr>
      <w:r>
        <w:t>Deutung:</w:t>
      </w:r>
      <w:r>
        <w:tab/>
      </w:r>
      <w:r>
        <w:tab/>
        <w:t xml:space="preserve">Die zugeführte Wärme beim Schmelzvorgang wird beim Erstarren des Wachses wieder frei in Form von Wärme. Diese Wärme wird als </w:t>
      </w:r>
      <w:proofErr w:type="spellStart"/>
      <w:r>
        <w:lastRenderedPageBreak/>
        <w:t>Latentwärme</w:t>
      </w:r>
      <w:proofErr w:type="spellEnd"/>
      <w:r>
        <w:t xml:space="preserve"> bezeichnet. Beim Abkühlen nimmt nach ca. 15 Minuten die Temperatur des Wachses weniger stark ab, da das Wachs wieder erstarrt.</w:t>
      </w:r>
    </w:p>
    <w:p w:rsidR="00A06AC0" w:rsidRDefault="00A06AC0" w:rsidP="00A06AC0">
      <w:pPr>
        <w:spacing w:line="276" w:lineRule="auto"/>
        <w:ind w:left="1985" w:hanging="1985"/>
        <w:jc w:val="left"/>
      </w:pPr>
      <w:r>
        <w:t>Entsorgung:</w:t>
      </w:r>
      <w:r>
        <w:tab/>
        <w:t>Das Wachs kann wieder verwendet werden.</w:t>
      </w:r>
    </w:p>
    <w:p w:rsidR="00A06AC0" w:rsidRPr="007A6A31" w:rsidRDefault="00C615D5" w:rsidP="00A06AC0">
      <w:pPr>
        <w:ind w:left="1985" w:hanging="1985"/>
        <w:rPr>
          <w:rFonts w:ascii="Cambria Math" w:eastAsia="Times New Roman" w:hAnsi="Cambria Math" w:cs="Times New Roman"/>
          <w:color w:val="auto"/>
          <w:szCs w:val="24"/>
          <w:lang w:eastAsia="de-DE"/>
        </w:rPr>
      </w:pPr>
      <w:r w:rsidRPr="00C615D5">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0;margin-top:53.8pt;width:456.25pt;height:63.5pt;z-index:251660288;mso-position-horizontal:center;mso-position-horizontal-relative:margin;mso-width-relative:margin;mso-height-relative:margin" strokecolor="#c0504d" strokeweight="1pt">
            <v:stroke dashstyle="dash"/>
            <v:shadow color="#868686"/>
            <v:textbox style="mso-next-textbox:#_x0000_s1026">
              <w:txbxContent>
                <w:p w:rsidR="00A06AC0" w:rsidRDefault="00A06AC0" w:rsidP="00A06AC0">
                  <w:r>
                    <w:t>Achtung: Wenn das Wachs der Kerze beim Erhitzen in Brand geraten sollte, kann der Brand mit einem Drahtnetz erstickt werden. Es sollte auf keinen Fall Wasser zum Löschen eingesetzt werden.</w:t>
                  </w:r>
                </w:p>
                <w:p w:rsidR="00A06AC0" w:rsidRPr="00530A18" w:rsidRDefault="00A06AC0" w:rsidP="00A06AC0"/>
              </w:txbxContent>
            </v:textbox>
            <w10:wrap type="square" anchorx="margin"/>
          </v:shape>
        </w:pict>
      </w:r>
      <w:r w:rsidR="00A06AC0">
        <w:t>Literatur:</w:t>
      </w:r>
      <w:r w:rsidR="00A06AC0">
        <w:tab/>
      </w:r>
      <w:r w:rsidR="00A06AC0" w:rsidRPr="007A6A31">
        <w:rPr>
          <w:rFonts w:ascii="Cambria Math" w:eastAsia="Times New Roman" w:hAnsi="Cambria Math" w:cs="Times New Roman"/>
          <w:color w:val="auto"/>
          <w:szCs w:val="24"/>
          <w:lang w:eastAsia="de-DE"/>
        </w:rPr>
        <w:t xml:space="preserve">H. Schmidkunz, W. Rentsch, </w:t>
      </w:r>
      <w:r w:rsidR="00A06AC0" w:rsidRPr="007A6A31">
        <w:rPr>
          <w:rFonts w:ascii="Cambria Math" w:eastAsia="Times New Roman" w:hAnsi="Cambria Math" w:cs="Times New Roman"/>
          <w:i/>
          <w:iCs/>
          <w:color w:val="auto"/>
          <w:szCs w:val="24"/>
          <w:lang w:eastAsia="de-DE"/>
        </w:rPr>
        <w:t>Chemische Freihandversuche: Kleine Versuche mit großer Wirkung</w:t>
      </w:r>
      <w:r w:rsidR="00A06AC0" w:rsidRPr="007A6A31">
        <w:rPr>
          <w:rFonts w:ascii="Cambria Math" w:eastAsia="Times New Roman" w:hAnsi="Cambria Math" w:cs="Times New Roman"/>
          <w:color w:val="auto"/>
          <w:szCs w:val="24"/>
          <w:lang w:eastAsia="de-DE"/>
        </w:rPr>
        <w:t xml:space="preserve">, </w:t>
      </w:r>
      <w:proofErr w:type="spellStart"/>
      <w:r w:rsidR="00A06AC0" w:rsidRPr="007A6A31">
        <w:rPr>
          <w:rFonts w:ascii="Cambria Math" w:eastAsia="Times New Roman" w:hAnsi="Cambria Math" w:cs="Times New Roman"/>
          <w:color w:val="auto"/>
          <w:szCs w:val="24"/>
          <w:lang w:eastAsia="de-DE"/>
        </w:rPr>
        <w:t>Aulis</w:t>
      </w:r>
      <w:proofErr w:type="spellEnd"/>
      <w:r w:rsidR="00A06AC0" w:rsidRPr="007A6A31">
        <w:rPr>
          <w:rFonts w:ascii="Cambria Math" w:eastAsia="Times New Roman" w:hAnsi="Cambria Math" w:cs="Times New Roman"/>
          <w:color w:val="auto"/>
          <w:szCs w:val="24"/>
          <w:lang w:eastAsia="de-DE"/>
        </w:rPr>
        <w:t xml:space="preserve">, Köln, </w:t>
      </w:r>
      <w:r w:rsidR="00A06AC0" w:rsidRPr="007A6A31">
        <w:rPr>
          <w:rFonts w:ascii="Cambria Math" w:eastAsia="Times New Roman" w:hAnsi="Cambria Math" w:cs="Times New Roman"/>
          <w:b/>
          <w:bCs/>
          <w:color w:val="auto"/>
          <w:szCs w:val="24"/>
          <w:lang w:eastAsia="de-DE"/>
        </w:rPr>
        <w:t>2011</w:t>
      </w:r>
      <w:r w:rsidR="00A06AC0" w:rsidRPr="007A6A31">
        <w:rPr>
          <w:rFonts w:ascii="Cambria Math" w:eastAsia="Times New Roman" w:hAnsi="Cambria Math" w:cs="Times New Roman"/>
          <w:color w:val="auto"/>
          <w:szCs w:val="24"/>
          <w:lang w:eastAsia="de-DE"/>
        </w:rPr>
        <w:t>. S. 83</w:t>
      </w:r>
    </w:p>
    <w:p w:rsidR="00A06AC0" w:rsidRDefault="00A06AC0" w:rsidP="00A06AC0">
      <w:pPr>
        <w:tabs>
          <w:tab w:val="left" w:pos="1701"/>
          <w:tab w:val="left" w:pos="1985"/>
        </w:tabs>
        <w:ind w:left="1980" w:hanging="1980"/>
        <w:rPr>
          <w:rFonts w:eastAsiaTheme="minorEastAsia"/>
        </w:rPr>
      </w:pPr>
    </w:p>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6AC0"/>
    <w:rsid w:val="00121963"/>
    <w:rsid w:val="002D0ED9"/>
    <w:rsid w:val="003514D8"/>
    <w:rsid w:val="00717EFF"/>
    <w:rsid w:val="007A4199"/>
    <w:rsid w:val="007A6A31"/>
    <w:rsid w:val="007E31DB"/>
    <w:rsid w:val="009B23A5"/>
    <w:rsid w:val="00A06AC0"/>
    <w:rsid w:val="00C615D5"/>
    <w:rsid w:val="00D87043"/>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6AC0"/>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A06AC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06A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AC0"/>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lineChart>
        <c:grouping val="standard"/>
        <c:ser>
          <c:idx val="0"/>
          <c:order val="0"/>
          <c:cat>
            <c:numRef>
              <c:f>Tabelle1!$B$3:$B$16</c:f>
              <c:numCache>
                <c:formatCode>General</c:formatCode>
                <c:ptCount val="14"/>
                <c:pt idx="0">
                  <c:v>0</c:v>
                </c:pt>
                <c:pt idx="1">
                  <c:v>5</c:v>
                </c:pt>
                <c:pt idx="2">
                  <c:v>10</c:v>
                </c:pt>
                <c:pt idx="3">
                  <c:v>15</c:v>
                </c:pt>
                <c:pt idx="4">
                  <c:v>20</c:v>
                </c:pt>
                <c:pt idx="5">
                  <c:v>25</c:v>
                </c:pt>
                <c:pt idx="6">
                  <c:v>30</c:v>
                </c:pt>
                <c:pt idx="7">
                  <c:v>35</c:v>
                </c:pt>
                <c:pt idx="8">
                  <c:v>40</c:v>
                </c:pt>
                <c:pt idx="9">
                  <c:v>45</c:v>
                </c:pt>
                <c:pt idx="10">
                  <c:v>50</c:v>
                </c:pt>
                <c:pt idx="11">
                  <c:v>60</c:v>
                </c:pt>
                <c:pt idx="12">
                  <c:v>75</c:v>
                </c:pt>
                <c:pt idx="13">
                  <c:v>80</c:v>
                </c:pt>
              </c:numCache>
            </c:numRef>
          </c:cat>
          <c:val>
            <c:numRef>
              <c:f>Tabelle1!$C$3:$C$16</c:f>
              <c:numCache>
                <c:formatCode>General</c:formatCode>
                <c:ptCount val="14"/>
                <c:pt idx="0">
                  <c:v>114</c:v>
                </c:pt>
                <c:pt idx="1">
                  <c:v>96</c:v>
                </c:pt>
                <c:pt idx="2">
                  <c:v>70</c:v>
                </c:pt>
                <c:pt idx="3">
                  <c:v>43</c:v>
                </c:pt>
                <c:pt idx="4">
                  <c:v>41</c:v>
                </c:pt>
                <c:pt idx="5">
                  <c:v>39</c:v>
                </c:pt>
                <c:pt idx="6">
                  <c:v>39</c:v>
                </c:pt>
                <c:pt idx="7">
                  <c:v>38</c:v>
                </c:pt>
                <c:pt idx="8">
                  <c:v>38</c:v>
                </c:pt>
                <c:pt idx="9">
                  <c:v>37</c:v>
                </c:pt>
                <c:pt idx="10">
                  <c:v>37</c:v>
                </c:pt>
                <c:pt idx="11">
                  <c:v>35</c:v>
                </c:pt>
                <c:pt idx="12">
                  <c:v>32</c:v>
                </c:pt>
                <c:pt idx="13">
                  <c:v>31</c:v>
                </c:pt>
              </c:numCache>
            </c:numRef>
          </c:val>
        </c:ser>
        <c:marker val="1"/>
        <c:axId val="115651328"/>
        <c:axId val="115653248"/>
      </c:lineChart>
      <c:catAx>
        <c:axId val="115651328"/>
        <c:scaling>
          <c:orientation val="minMax"/>
        </c:scaling>
        <c:axPos val="b"/>
        <c:title>
          <c:tx>
            <c:rich>
              <a:bodyPr/>
              <a:lstStyle/>
              <a:p>
                <a:pPr>
                  <a:defRPr/>
                </a:pPr>
                <a:r>
                  <a:rPr lang="de-DE"/>
                  <a:t>Zeit [min.]</a:t>
                </a:r>
              </a:p>
            </c:rich>
          </c:tx>
        </c:title>
        <c:numFmt formatCode="General" sourceLinked="1"/>
        <c:tickLblPos val="nextTo"/>
        <c:crossAx val="115653248"/>
        <c:crosses val="autoZero"/>
        <c:auto val="1"/>
        <c:lblAlgn val="ctr"/>
        <c:lblOffset val="100"/>
      </c:catAx>
      <c:valAx>
        <c:axId val="115653248"/>
        <c:scaling>
          <c:orientation val="minMax"/>
        </c:scaling>
        <c:axPos val="l"/>
        <c:majorGridlines/>
        <c:title>
          <c:tx>
            <c:rich>
              <a:bodyPr rot="-5400000" vert="horz"/>
              <a:lstStyle/>
              <a:p>
                <a:pPr>
                  <a:defRPr/>
                </a:pPr>
                <a:r>
                  <a:rPr lang="en-US"/>
                  <a:t>Temperatur [K]</a:t>
                </a:r>
              </a:p>
            </c:rich>
          </c:tx>
        </c:title>
        <c:numFmt formatCode="General" sourceLinked="1"/>
        <c:tickLblPos val="nextTo"/>
        <c:crossAx val="115651328"/>
        <c:crosses val="autoZero"/>
        <c:crossBetween val="between"/>
      </c:valAx>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1089</Characters>
  <Application>Microsoft Office Word</Application>
  <DocSecurity>0</DocSecurity>
  <Lines>9</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3</cp:revision>
  <dcterms:created xsi:type="dcterms:W3CDTF">2015-08-18T12:43:00Z</dcterms:created>
  <dcterms:modified xsi:type="dcterms:W3CDTF">2015-08-20T10:54:00Z</dcterms:modified>
</cp:coreProperties>
</file>