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7" w:rsidRPr="007E7507" w:rsidRDefault="007E7507" w:rsidP="007E7507">
      <w:pPr>
        <w:rPr>
          <w:b/>
        </w:rPr>
      </w:pPr>
      <w:r w:rsidRPr="007E7507">
        <w:rPr>
          <w:b/>
        </w:rPr>
        <w:t>Wie funktioniert ein Taschenwärmer?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E7507" w:rsidRPr="00F31EBF" w:rsidTr="00CF7379">
        <w:tc>
          <w:tcPr>
            <w:tcW w:w="9322" w:type="dxa"/>
            <w:gridSpan w:val="9"/>
            <w:shd w:val="clear" w:color="auto" w:fill="4F81BD"/>
            <w:vAlign w:val="center"/>
          </w:tcPr>
          <w:p w:rsidR="007E7507" w:rsidRPr="00F31EBF" w:rsidRDefault="007E7507" w:rsidP="00CF737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E7507" w:rsidRPr="008E2B8A" w:rsidTr="00CF737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 xml:space="preserve">Natriumacetat </w:t>
            </w:r>
            <w:proofErr w:type="spellStart"/>
            <w:r>
              <w:rPr>
                <w:sz w:val="20"/>
              </w:rPr>
              <w:t>Trihydrat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8E2B8A" w:rsidRDefault="007E7507" w:rsidP="00CF7379">
            <w:pPr>
              <w:spacing w:after="0"/>
              <w:jc w:val="center"/>
              <w:rPr>
                <w:sz w:val="20"/>
                <w:szCs w:val="20"/>
              </w:rPr>
            </w:pPr>
            <w:r w:rsidRPr="008E2B8A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7507" w:rsidRPr="008E2B8A" w:rsidRDefault="007E7507" w:rsidP="00CF7379">
            <w:pPr>
              <w:spacing w:after="0"/>
              <w:jc w:val="center"/>
              <w:rPr>
                <w:sz w:val="20"/>
                <w:szCs w:val="20"/>
              </w:rPr>
            </w:pPr>
            <w:r w:rsidRPr="008E2B8A">
              <w:rPr>
                <w:sz w:val="20"/>
                <w:szCs w:val="20"/>
              </w:rPr>
              <w:t>P: -</w:t>
            </w:r>
          </w:p>
        </w:tc>
      </w:tr>
      <w:tr w:rsidR="007E7507" w:rsidRPr="009C5E28" w:rsidTr="00CF737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1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3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6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2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7507" w:rsidRPr="009C5E28" w:rsidRDefault="007E7507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507" w:rsidRDefault="007E7507" w:rsidP="007E7507">
      <w:pPr>
        <w:tabs>
          <w:tab w:val="left" w:pos="1701"/>
          <w:tab w:val="left" w:pos="1985"/>
        </w:tabs>
        <w:ind w:left="1980" w:hanging="1980"/>
      </w:pPr>
    </w:p>
    <w:p w:rsidR="007E7507" w:rsidRDefault="007E7507" w:rsidP="007E750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100 mL, Bunsenbrenner, Dreifuß, Drahtnetz, </w:t>
      </w:r>
      <w:proofErr w:type="spellStart"/>
      <w:r>
        <w:t>Glasstab</w:t>
      </w:r>
      <w:proofErr w:type="spellEnd"/>
      <w:r>
        <w:t>.</w:t>
      </w:r>
    </w:p>
    <w:p w:rsidR="007E7507" w:rsidRPr="00ED07C2" w:rsidRDefault="007E7507" w:rsidP="007E750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Natriumacetat </w:t>
      </w:r>
      <w:proofErr w:type="spellStart"/>
      <w:r>
        <w:t>Trihydrat</w:t>
      </w:r>
      <w:proofErr w:type="spellEnd"/>
      <w:r>
        <w:t>, destilliertes Wasser.</w:t>
      </w:r>
    </w:p>
    <w:p w:rsidR="007E7507" w:rsidRDefault="007E7507" w:rsidP="007E7507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In das Becherglas werden 2 mL destilliertes Wasser und 20 g Natriumacetat </w:t>
      </w:r>
      <w:proofErr w:type="spellStart"/>
      <w:r>
        <w:t>Trihydraht</w:t>
      </w:r>
      <w:proofErr w:type="spellEnd"/>
      <w:r>
        <w:t xml:space="preserve"> gegeben. Es wird solange erhitzt, bis sich alles im Becherglas vollständig verflüssigt hat. Nach dem Abkühlen wird durch das Kratzen mit einem </w:t>
      </w:r>
      <w:proofErr w:type="spellStart"/>
      <w:r>
        <w:t>Glasstab</w:t>
      </w:r>
      <w:proofErr w:type="spellEnd"/>
      <w:r>
        <w:t xml:space="preserve"> die Kristallisation initiiert.</w:t>
      </w:r>
    </w:p>
    <w:p w:rsidR="007E7507" w:rsidRDefault="007E7507" w:rsidP="007E750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Es bilden sich Kristalle im Becherglas, die Temperatur nimmt zu.</w:t>
      </w:r>
    </w:p>
    <w:p w:rsidR="007E7507" w:rsidRDefault="007E7507" w:rsidP="007E7507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752022" cy="1144270"/>
            <wp:effectExtent l="0" t="304800" r="0" b="284480"/>
            <wp:docPr id="33" name="Bild 1" descr="C:\Users\Dennis Roggenkämper\AppData\Local\Microsoft\Windows\Temporary Internet Files\Content.Word\IMG_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 Roggenkämper\AppData\Local\Microsoft\Windows\Temporary Internet Files\Content.Word\IMG_22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296" t="17180" r="1635" b="1848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2022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07" w:rsidRPr="00247452" w:rsidRDefault="007E7507" w:rsidP="007E7507">
      <w:pPr>
        <w:pStyle w:val="Beschriftung"/>
        <w:jc w:val="center"/>
      </w:pPr>
      <w:r>
        <w:t>Abb. 5</w:t>
      </w:r>
      <w:r w:rsidRPr="00247452">
        <w:t xml:space="preserve"> – </w:t>
      </w:r>
      <w:r>
        <w:rPr>
          <w:noProof/>
        </w:rPr>
        <w:t>Nach der Initiation bilden sich sofort Kristalle</w:t>
      </w:r>
      <w:r w:rsidRPr="00247452">
        <w:rPr>
          <w:noProof/>
        </w:rPr>
        <w:t>.</w:t>
      </w:r>
    </w:p>
    <w:p w:rsidR="007E7507" w:rsidRDefault="007E7507" w:rsidP="007E7507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Durch das Erhitzen entsteht eine gesättigte Natrium </w:t>
      </w:r>
      <w:proofErr w:type="spellStart"/>
      <w:r>
        <w:t>Triacetat</w:t>
      </w:r>
      <w:proofErr w:type="spellEnd"/>
      <w:r>
        <w:t xml:space="preserve">-Lösung. Die Kristallbildung verläuft exotherm, da Gitterenergie in Form von Wärme frei wird. </w:t>
      </w:r>
    </w:p>
    <w:p w:rsidR="007E7507" w:rsidRPr="00B317AB" w:rsidRDefault="007E7507" w:rsidP="007E7507">
      <w:pPr>
        <w:tabs>
          <w:tab w:val="left" w:pos="1701"/>
          <w:tab w:val="left" w:pos="1985"/>
        </w:tabs>
        <w:ind w:left="1985" w:hanging="1985"/>
        <w:rPr>
          <w:rFonts w:eastAsiaTheme="minorEastAsia"/>
          <w:lang w:val="en-US"/>
        </w:rPr>
      </w:pPr>
      <w:r>
        <w:tab/>
      </w:r>
      <w:r>
        <w:tab/>
      </w:r>
      <w:r w:rsidRPr="00B317AB">
        <w:rPr>
          <w:lang w:val="en-US"/>
        </w:rPr>
        <w:t>CH</w:t>
      </w:r>
      <w:r w:rsidRPr="00B317AB">
        <w:rPr>
          <w:vertAlign w:val="subscript"/>
          <w:lang w:val="en-US"/>
        </w:rPr>
        <w:t>3</w:t>
      </w:r>
      <w:r w:rsidRPr="00B317AB">
        <w:rPr>
          <w:lang w:val="en-US"/>
        </w:rPr>
        <w:t>COO</w:t>
      </w:r>
      <w:r w:rsidRPr="00B317AB">
        <w:rPr>
          <w:vertAlign w:val="superscript"/>
          <w:lang w:val="en-US"/>
        </w:rPr>
        <w:t>-</w:t>
      </w:r>
      <w:r w:rsidRPr="00B317AB">
        <w:rPr>
          <w:lang w:val="en-US"/>
        </w:rPr>
        <w:t xml:space="preserve"> </w:t>
      </w:r>
      <w:r w:rsidRPr="00B317AB">
        <w:rPr>
          <w:vertAlign w:val="subscript"/>
          <w:lang w:val="en-US"/>
        </w:rPr>
        <w:t>(</w:t>
      </w:r>
      <w:proofErr w:type="spellStart"/>
      <w:r w:rsidRPr="00B317AB">
        <w:rPr>
          <w:vertAlign w:val="subscript"/>
          <w:lang w:val="en-US"/>
        </w:rPr>
        <w:t>aq</w:t>
      </w:r>
      <w:proofErr w:type="spellEnd"/>
      <w:r w:rsidRPr="00B317AB">
        <w:rPr>
          <w:vertAlign w:val="subscript"/>
          <w:lang w:val="en-US"/>
        </w:rPr>
        <w:t>)</w:t>
      </w:r>
      <w:r w:rsidRPr="00B317AB">
        <w:rPr>
          <w:lang w:val="en-US"/>
        </w:rPr>
        <w:t xml:space="preserve">   +   Na</w:t>
      </w:r>
      <w:r w:rsidRPr="00B317AB">
        <w:rPr>
          <w:vertAlign w:val="superscript"/>
          <w:lang w:val="en-US"/>
        </w:rPr>
        <w:t>+</w:t>
      </w:r>
      <w:r w:rsidRPr="00B317AB">
        <w:rPr>
          <w:lang w:val="en-US"/>
        </w:rPr>
        <w:t xml:space="preserve"> </w:t>
      </w:r>
      <w:r w:rsidRPr="00B317AB">
        <w:rPr>
          <w:vertAlign w:val="subscript"/>
          <w:lang w:val="en-US"/>
        </w:rPr>
        <w:t>(</w:t>
      </w:r>
      <w:proofErr w:type="spellStart"/>
      <w:r w:rsidRPr="00B317AB">
        <w:rPr>
          <w:vertAlign w:val="subscript"/>
          <w:lang w:val="en-US"/>
        </w:rPr>
        <w:t>aq</w:t>
      </w:r>
      <w:proofErr w:type="spellEnd"/>
      <w:r w:rsidRPr="00B317AB">
        <w:rPr>
          <w:vertAlign w:val="subscript"/>
          <w:lang w:val="en-US"/>
        </w:rPr>
        <w:t>)</w:t>
      </w:r>
      <w:r w:rsidRPr="00B317AB">
        <w:rPr>
          <w:lang w:val="en-US"/>
        </w:rPr>
        <w:t xml:space="preserve">   </w:t>
      </w:r>
      <w:r>
        <w:rPr>
          <w:lang w:val="en-US"/>
        </w:rPr>
        <w:t>+   3 H</w:t>
      </w:r>
      <w:r w:rsidRPr="00B317AB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vertAlign w:val="subscript"/>
          <w:lang w:val="en-US"/>
        </w:rPr>
        <w:t>(l</w:t>
      </w:r>
      <w:r w:rsidRPr="00B317AB">
        <w:rPr>
          <w:vertAlign w:val="subscript"/>
          <w:lang w:val="en-US"/>
        </w:rPr>
        <w:t>)</w:t>
      </w:r>
      <w:r>
        <w:rPr>
          <w:lang w:val="en-US"/>
        </w:rPr>
        <w:t xml:space="preserve">   </w:t>
      </w:r>
      <w:r w:rsidRPr="00B317AB">
        <w:rPr>
          <w:lang w:val="en-US"/>
        </w:rPr>
        <w:t>→   C</w:t>
      </w:r>
      <w:r>
        <w:rPr>
          <w:lang w:val="en-US"/>
        </w:rPr>
        <w:t>H</w:t>
      </w:r>
      <w:r w:rsidRPr="00B317AB">
        <w:rPr>
          <w:vertAlign w:val="subscript"/>
          <w:lang w:val="en-US"/>
        </w:rPr>
        <w:t>3</w:t>
      </w:r>
      <w:r>
        <w:rPr>
          <w:lang w:val="en-US"/>
        </w:rPr>
        <w:t>COONa ∙ 3 H</w:t>
      </w:r>
      <w:r w:rsidRPr="00B317AB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B317AB">
        <w:rPr>
          <w:vertAlign w:val="subscript"/>
          <w:lang w:val="en-US"/>
        </w:rPr>
        <w:t>(s)</w:t>
      </w:r>
    </w:p>
    <w:p w:rsidR="007E7507" w:rsidRDefault="007E7507" w:rsidP="007E7507">
      <w:pPr>
        <w:spacing w:line="276" w:lineRule="auto"/>
        <w:ind w:left="1985" w:hanging="1985"/>
        <w:jc w:val="left"/>
      </w:pPr>
      <w:r>
        <w:t>Entsorgung:</w:t>
      </w:r>
      <w:r>
        <w:tab/>
        <w:t xml:space="preserve">Das Natriumacetat </w:t>
      </w:r>
      <w:proofErr w:type="spellStart"/>
      <w:r>
        <w:t>Trihydraht</w:t>
      </w:r>
      <w:proofErr w:type="spellEnd"/>
      <w:r>
        <w:t xml:space="preserve"> kann gesammelt und wieder verwendet werden.</w:t>
      </w:r>
    </w:p>
    <w:p w:rsidR="002D0ED9" w:rsidRPr="00D67CA8" w:rsidRDefault="007E7507" w:rsidP="007E7507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682093">
        <w:t>Literatur:</w:t>
      </w:r>
      <w:r w:rsidRPr="00682093">
        <w:tab/>
      </w:r>
      <w:r w:rsidRPr="00D67CA8">
        <w:rPr>
          <w:rFonts w:ascii="Cambria Math" w:eastAsia="Times New Roman" w:hAnsi="Cambria Math" w:cs="Times New Roman"/>
          <w:color w:val="auto"/>
          <w:szCs w:val="24"/>
          <w:lang w:eastAsia="de-DE"/>
        </w:rPr>
        <w:t>R. Blume (1999) http://www.chemieunter-richt.de/dc2/tip/01_99.htm (Abgerufen am 08.08.2015)</w:t>
      </w:r>
    </w:p>
    <w:sectPr w:rsidR="002D0ED9" w:rsidRPr="00D67CA8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79" w:rsidRDefault="00F12F79" w:rsidP="009D792F">
      <w:pPr>
        <w:spacing w:after="0" w:line="240" w:lineRule="auto"/>
      </w:pPr>
      <w:r>
        <w:separator/>
      </w:r>
    </w:p>
  </w:endnote>
  <w:endnote w:type="continuationSeparator" w:id="0">
    <w:p w:rsidR="00F12F79" w:rsidRDefault="00F12F79" w:rsidP="009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79" w:rsidRDefault="00F12F79" w:rsidP="009D792F">
      <w:pPr>
        <w:spacing w:after="0" w:line="240" w:lineRule="auto"/>
      </w:pPr>
      <w:r>
        <w:separator/>
      </w:r>
    </w:p>
  </w:footnote>
  <w:footnote w:type="continuationSeparator" w:id="0">
    <w:p w:rsidR="00F12F79" w:rsidRDefault="00F12F79" w:rsidP="009D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7507"/>
    <w:rsid w:val="002D0ED9"/>
    <w:rsid w:val="003514D8"/>
    <w:rsid w:val="00717EFF"/>
    <w:rsid w:val="007A4199"/>
    <w:rsid w:val="007E31DB"/>
    <w:rsid w:val="007E7507"/>
    <w:rsid w:val="009B23A5"/>
    <w:rsid w:val="009D792F"/>
    <w:rsid w:val="00D67CA8"/>
    <w:rsid w:val="00EE7EF2"/>
    <w:rsid w:val="00F1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7507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7E750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507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2</cp:revision>
  <cp:lastPrinted>2015-08-20T10:53:00Z</cp:lastPrinted>
  <dcterms:created xsi:type="dcterms:W3CDTF">2015-08-18T12:44:00Z</dcterms:created>
  <dcterms:modified xsi:type="dcterms:W3CDTF">2015-08-20T10:53:00Z</dcterms:modified>
</cp:coreProperties>
</file>