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8F3" w:rsidRDefault="002328F3" w:rsidP="002328F3">
      <w:pPr>
        <w:pStyle w:val="berschrift2"/>
        <w:rPr>
          <w:color w:val="1D1B11"/>
        </w:rPr>
      </w:pPr>
      <w:r>
        <w:t xml:space="preserve">Schülerversuch - </w:t>
      </w:r>
      <w:r>
        <w:t xml:space="preserve">Das </w:t>
      </w:r>
      <w:proofErr w:type="spellStart"/>
      <w:r>
        <w:t>Eloxalverfahren</w:t>
      </w:r>
      <w:proofErr w:type="spellEnd"/>
    </w:p>
    <w:p w:rsidR="002328F3" w:rsidRDefault="002328F3" w:rsidP="002328F3">
      <w:pPr>
        <w:pStyle w:val="berschrift2"/>
        <w:rPr>
          <w:color w:val="1D1B11"/>
        </w:rPr>
      </w:pPr>
      <w:bookmarkStart w:id="0" w:name="_Toc425776595"/>
      <w:bookmarkEnd w:id="0"/>
      <w:r>
        <w:rPr>
          <w:noProof/>
          <w:lang w:eastAsia="de-DE"/>
        </w:rPr>
        <mc:AlternateContent>
          <mc:Choice Requires="wps">
            <w:drawing>
              <wp:anchor distT="0" distB="0" distL="114300" distR="114300" simplePos="0" relativeHeight="251659264" behindDoc="0" locked="0" layoutInCell="1" allowOverlap="1" wp14:anchorId="43E49410" wp14:editId="33110E71">
                <wp:simplePos x="0" y="0"/>
                <wp:positionH relativeFrom="column">
                  <wp:posOffset>-13335</wp:posOffset>
                </wp:positionH>
                <wp:positionV relativeFrom="paragraph">
                  <wp:posOffset>270510</wp:posOffset>
                </wp:positionV>
                <wp:extent cx="5875020" cy="904875"/>
                <wp:effectExtent l="0" t="0" r="49530" b="66675"/>
                <wp:wrapSquare wrapText="bothSides"/>
                <wp:docPr id="5" name="Rahmen2"/>
                <wp:cNvGraphicFramePr/>
                <a:graphic xmlns:a="http://schemas.openxmlformats.org/drawingml/2006/main">
                  <a:graphicData uri="http://schemas.microsoft.com/office/word/2010/wordprocessingShape">
                    <wps:wsp>
                      <wps:cNvSpPr txBox="1"/>
                      <wps:spPr>
                        <a:xfrm>
                          <a:off x="0" y="0"/>
                          <a:ext cx="5875020" cy="904875"/>
                        </a:xfrm>
                        <a:prstGeom prst="rect">
                          <a:avLst/>
                        </a:prstGeom>
                        <a:solidFill>
                          <a:srgbClr val="FFFFFF"/>
                        </a:solidFill>
                        <a:ln w="12700">
                          <a:solidFill>
                            <a:srgbClr val="4BACC6"/>
                          </a:solidFill>
                          <a:prstDash val="dash"/>
                        </a:ln>
                        <a:effectLst>
                          <a:outerShdw dist="30480" dir="2700000">
                            <a:srgbClr val="868686"/>
                          </a:outerShdw>
                        </a:effectLst>
                      </wps:spPr>
                      <wps:txbx>
                        <w:txbxContent>
                          <w:p w:rsidR="002328F3" w:rsidRDefault="002328F3" w:rsidP="002328F3">
                            <w:pPr>
                              <w:pStyle w:val="Rahmeninhalt"/>
                            </w:pPr>
                            <w:r>
                              <w:rPr>
                                <w:color w:val="00000A"/>
                              </w:rPr>
                              <w:t xml:space="preserve">Mithilfe des </w:t>
                            </w:r>
                            <w:proofErr w:type="spellStart"/>
                            <w:r>
                              <w:rPr>
                                <w:color w:val="00000A"/>
                              </w:rPr>
                              <w:t>Eloxalverfahrens</w:t>
                            </w:r>
                            <w:proofErr w:type="spellEnd"/>
                            <w:r>
                              <w:rPr>
                                <w:color w:val="00000A"/>
                              </w:rPr>
                              <w:t xml:space="preserve"> wird Aluminium elektrolytisch mit einer Oxidschicht überzogen, die das Metall vor weiterer Korrosion schützt. Das Verfahren ist in den Grundzügen mittels eines Schülerversuchs nachstellbar. </w:t>
                            </w:r>
                          </w:p>
                        </w:txbxContent>
                      </wps:txbx>
                      <wps:bodyPr lIns="53975" tIns="53975" rIns="53975" bIns="53975"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ahmen2" o:spid="_x0000_s1026" type="#_x0000_t202" style="position:absolute;left:0;text-align:left;margin-left:-1.05pt;margin-top:21.3pt;width:462.6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" strokecolor="#4bacc6" strokeweight="1pt">
                <v:stroke dashstyle="dash"/>
                <v:shadow on="t" color="#868686" origin=",.5" offset=".59869mm,.59869mm"/>
                <v:textbox inset="4.25pt,4.25pt,4.25pt,4.25pt">
                  <w:txbxContent>
                    <w:p w:rsidR="002328F3" w:rsidRDefault="002328F3" w:rsidP="002328F3">
                      <w:pPr>
                        <w:pStyle w:val="Rahmeninhalt"/>
                      </w:pPr>
                      <w:r>
                        <w:rPr>
                          <w:color w:val="00000A"/>
                        </w:rPr>
                        <w:t xml:space="preserve">Mithilfe des </w:t>
                      </w:r>
                      <w:proofErr w:type="spellStart"/>
                      <w:r>
                        <w:rPr>
                          <w:color w:val="00000A"/>
                        </w:rPr>
                        <w:t>Eloxalverfahrens</w:t>
                      </w:r>
                      <w:proofErr w:type="spellEnd"/>
                      <w:r>
                        <w:rPr>
                          <w:color w:val="00000A"/>
                        </w:rPr>
                        <w:t xml:space="preserve"> wird Aluminium elektrolytisch mit einer Oxidschicht überzogen, die das Metall vor weiterer Korrosion schützt. Das Verfahren ist in den Grundzügen mittels eines Schülerversuchs nachstellbar. </w:t>
                      </w:r>
                    </w:p>
                  </w:txbxContent>
                </v:textbox>
                <w10:wrap type="square"/>
              </v:shape>
            </w:pict>
          </mc:Fallback>
        </mc:AlternateContent>
      </w:r>
    </w:p>
    <w:tbl>
      <w:tblPr>
        <w:tblW w:w="9322" w:type="dxa"/>
        <w:tblInd w:w="-39" w:type="dxa"/>
        <w:tblBorders>
          <w:top w:val="single" w:sz="8" w:space="0" w:color="4F81BD"/>
          <w:left w:val="single" w:sz="8" w:space="0" w:color="4F81BD"/>
          <w:right w:val="single" w:sz="8" w:space="0" w:color="4F81BD"/>
          <w:insideV w:val="single" w:sz="8" w:space="0" w:color="4F81BD"/>
        </w:tblBorders>
        <w:tblCellMar>
          <w:left w:w="67" w:type="dxa"/>
        </w:tblCellMar>
        <w:tblLook w:val="04A0" w:firstRow="1" w:lastRow="0" w:firstColumn="1" w:lastColumn="0" w:noHBand="0" w:noVBand="1"/>
      </w:tblPr>
      <w:tblGrid>
        <w:gridCol w:w="1003"/>
        <w:gridCol w:w="1011"/>
        <w:gridCol w:w="1008"/>
        <w:gridCol w:w="1009"/>
        <w:gridCol w:w="1175"/>
        <w:gridCol w:w="993"/>
        <w:gridCol w:w="978"/>
        <w:gridCol w:w="1005"/>
        <w:gridCol w:w="1140"/>
      </w:tblGrid>
      <w:tr w:rsidR="002328F3" w:rsidTr="008E25A5">
        <w:tc>
          <w:tcPr>
            <w:tcW w:w="9321" w:type="dxa"/>
            <w:gridSpan w:val="9"/>
            <w:tcBorders>
              <w:top w:val="single" w:sz="8" w:space="0" w:color="4F81BD"/>
              <w:left w:val="single" w:sz="8" w:space="0" w:color="4F81BD"/>
              <w:right w:val="single" w:sz="8" w:space="0" w:color="4F81BD"/>
            </w:tcBorders>
            <w:shd w:val="clear" w:color="auto" w:fill="4F81BD"/>
            <w:tcMar>
              <w:left w:w="67" w:type="dxa"/>
            </w:tcMar>
            <w:vAlign w:val="center"/>
          </w:tcPr>
          <w:p w:rsidR="002328F3" w:rsidRDefault="002328F3" w:rsidP="008E25A5">
            <w:pPr>
              <w:spacing w:after="0"/>
              <w:jc w:val="center"/>
              <w:rPr>
                <w:b/>
                <w:bCs/>
                <w:color w:val="FFFFFF" w:themeColor="background1"/>
              </w:rPr>
            </w:pPr>
            <w:r>
              <w:rPr>
                <w:b/>
                <w:bCs/>
                <w:color w:val="FFFFFF" w:themeColor="background1"/>
              </w:rPr>
              <w:t>Gefahrenstoffe</w:t>
            </w:r>
          </w:p>
        </w:tc>
      </w:tr>
      <w:tr w:rsidR="002328F3" w:rsidTr="008E25A5">
        <w:trPr>
          <w:trHeight w:val="437"/>
        </w:trPr>
        <w:tc>
          <w:tcPr>
            <w:tcW w:w="3024" w:type="dxa"/>
            <w:gridSpan w:val="3"/>
            <w:tcBorders>
              <w:top w:val="single" w:sz="8" w:space="0" w:color="4F81BD"/>
              <w:left w:val="single" w:sz="8" w:space="0" w:color="4F81BD"/>
              <w:bottom w:val="single" w:sz="8" w:space="0" w:color="4F81BD"/>
              <w:right w:val="single" w:sz="8" w:space="0" w:color="4F81BD"/>
            </w:tcBorders>
            <w:shd w:val="clear" w:color="auto" w:fill="auto"/>
            <w:tcMar>
              <w:left w:w="67" w:type="dxa"/>
            </w:tcMar>
            <w:vAlign w:val="center"/>
          </w:tcPr>
          <w:p w:rsidR="002328F3" w:rsidRDefault="002328F3" w:rsidP="008E25A5">
            <w:pPr>
              <w:spacing w:after="0" w:line="276" w:lineRule="auto"/>
              <w:jc w:val="center"/>
            </w:pPr>
            <w:r>
              <w:t>Schwefelsäure (w = 15%)</w:t>
            </w:r>
          </w:p>
        </w:tc>
        <w:tc>
          <w:tcPr>
            <w:tcW w:w="3178" w:type="dxa"/>
            <w:gridSpan w:val="3"/>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2328F3" w:rsidRDefault="002328F3" w:rsidP="008E25A5">
            <w:pPr>
              <w:jc w:val="center"/>
              <w:rPr>
                <w:rFonts w:cs="Cambria"/>
                <w:lang w:val="en-GB"/>
              </w:rPr>
            </w:pPr>
            <w:r>
              <w:rPr>
                <w:rFonts w:cs="Cambria"/>
                <w:lang w:val="en-GB"/>
              </w:rPr>
              <w:t>H: 290, 314</w:t>
            </w:r>
          </w:p>
        </w:tc>
        <w:tc>
          <w:tcPr>
            <w:tcW w:w="3119" w:type="dxa"/>
            <w:gridSpan w:val="3"/>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2328F3" w:rsidRDefault="002328F3" w:rsidP="008E25A5">
            <w:pPr>
              <w:rPr>
                <w:rFonts w:cs="Cambria"/>
                <w:lang w:val="en-GB"/>
              </w:rPr>
            </w:pPr>
            <w:r>
              <w:rPr>
                <w:rFonts w:cs="Cambria"/>
                <w:lang w:val="en-GB"/>
              </w:rPr>
              <w:t>P: 280, 301+330+331, 309, 310, 305+351+338</w:t>
            </w:r>
          </w:p>
        </w:tc>
      </w:tr>
      <w:tr w:rsidR="002328F3" w:rsidTr="008E25A5">
        <w:tc>
          <w:tcPr>
            <w:tcW w:w="1004" w:type="dxa"/>
            <w:tcBorders>
              <w:top w:val="single" w:sz="8" w:space="0" w:color="4F81BD"/>
              <w:left w:val="single" w:sz="8" w:space="0" w:color="4F81BD"/>
              <w:bottom w:val="single" w:sz="8" w:space="0" w:color="4F81BD"/>
              <w:right w:val="single" w:sz="8" w:space="0" w:color="4F81BD"/>
            </w:tcBorders>
            <w:shd w:val="clear" w:color="auto" w:fill="auto"/>
            <w:tcMar>
              <w:left w:w="67" w:type="dxa"/>
            </w:tcMar>
            <w:vAlign w:val="center"/>
          </w:tcPr>
          <w:p w:rsidR="002328F3" w:rsidRDefault="002328F3" w:rsidP="008E25A5">
            <w:pPr>
              <w:spacing w:after="0"/>
              <w:jc w:val="center"/>
              <w:rPr>
                <w:b/>
                <w:bCs/>
              </w:rPr>
            </w:pPr>
            <w:r>
              <w:rPr>
                <w:noProof/>
                <w:lang w:eastAsia="de-DE"/>
              </w:rPr>
              <w:drawing>
                <wp:inline distT="0" distB="0" distL="0" distR="0" wp14:anchorId="1EDB44D0" wp14:editId="5CEBA89E">
                  <wp:extent cx="504190" cy="504190"/>
                  <wp:effectExtent l="0" t="0" r="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8"/>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012"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2328F3" w:rsidRDefault="002328F3" w:rsidP="008E25A5">
            <w:pPr>
              <w:spacing w:after="0"/>
              <w:jc w:val="center"/>
            </w:pPr>
            <w:r>
              <w:rPr>
                <w:noProof/>
                <w:lang w:eastAsia="de-DE"/>
              </w:rPr>
              <w:drawing>
                <wp:inline distT="0" distB="0" distL="0" distR="0" wp14:anchorId="57B0930F" wp14:editId="2C06823D">
                  <wp:extent cx="504190" cy="504190"/>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9"/>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007"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2328F3" w:rsidRDefault="002328F3" w:rsidP="008E25A5">
            <w:pPr>
              <w:spacing w:after="0"/>
              <w:jc w:val="center"/>
            </w:pPr>
            <w:r>
              <w:rPr>
                <w:noProof/>
                <w:lang w:eastAsia="de-DE"/>
              </w:rPr>
              <w:drawing>
                <wp:inline distT="0" distB="0" distL="0" distR="0" wp14:anchorId="10BF2532" wp14:editId="1002AA23">
                  <wp:extent cx="504190" cy="504190"/>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embed="rId10"/>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009"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2328F3" w:rsidRDefault="002328F3" w:rsidP="008E25A5">
            <w:pPr>
              <w:spacing w:after="0"/>
              <w:jc w:val="center"/>
            </w:pPr>
            <w:r>
              <w:rPr>
                <w:noProof/>
                <w:lang w:eastAsia="de-DE"/>
              </w:rPr>
              <w:drawing>
                <wp:inline distT="0" distB="0" distL="0" distR="0" wp14:anchorId="5145B251" wp14:editId="79D6B0B4">
                  <wp:extent cx="504190" cy="504190"/>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11"/>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176"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2328F3" w:rsidRDefault="002328F3" w:rsidP="008E25A5">
            <w:pPr>
              <w:spacing w:after="0"/>
              <w:jc w:val="center"/>
            </w:pPr>
            <w:r>
              <w:rPr>
                <w:noProof/>
                <w:lang w:eastAsia="de-DE"/>
              </w:rPr>
              <w:drawing>
                <wp:inline distT="0" distB="0" distL="0" distR="0" wp14:anchorId="3C45DD15" wp14:editId="5F3F337D">
                  <wp:extent cx="504190" cy="504190"/>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pic:cNvPicPr>
                            <a:picLocks noChangeAspect="1" noChangeArrowheads="1"/>
                          </pic:cNvPicPr>
                        </pic:nvPicPr>
                        <pic:blipFill>
                          <a:blip r:embed="rId12"/>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990"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2328F3" w:rsidRDefault="002328F3" w:rsidP="008E25A5">
            <w:pPr>
              <w:spacing w:after="0"/>
              <w:jc w:val="center"/>
            </w:pPr>
            <w:r>
              <w:rPr>
                <w:noProof/>
                <w:lang w:eastAsia="de-DE"/>
              </w:rPr>
              <w:drawing>
                <wp:inline distT="0" distB="0" distL="0" distR="0" wp14:anchorId="16A7197B" wp14:editId="238939B5">
                  <wp:extent cx="504190" cy="504190"/>
                  <wp:effectExtent l="0" t="0" r="0" b="0"/>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pic:cNvPicPr>
                            <a:picLocks noChangeAspect="1" noChangeArrowheads="1"/>
                          </pic:cNvPicPr>
                        </pic:nvPicPr>
                        <pic:blipFill>
                          <a:blip r:embed="rId13"/>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977"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2328F3" w:rsidRDefault="002328F3" w:rsidP="008E25A5">
            <w:pPr>
              <w:spacing w:after="0"/>
              <w:jc w:val="center"/>
            </w:pPr>
            <w:r>
              <w:rPr>
                <w:noProof/>
                <w:lang w:eastAsia="de-DE"/>
              </w:rPr>
              <w:drawing>
                <wp:inline distT="0" distB="0" distL="0" distR="0" wp14:anchorId="6277AD2B" wp14:editId="243B315A">
                  <wp:extent cx="504190" cy="504190"/>
                  <wp:effectExtent l="0" t="0" r="0" b="0"/>
                  <wp:docP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pic:cNvPicPr>
                            <a:picLocks noChangeAspect="1" noChangeArrowheads="1"/>
                          </pic:cNvPicPr>
                        </pic:nvPicPr>
                        <pic:blipFill>
                          <a:blip r:embed="rId14"/>
                          <a:stretch>
                            <a:fillRect/>
                          </a:stretch>
                        </pic:blipFill>
                        <pic:spPr bwMode="auto">
                          <a:xfrm>
                            <a:off x="0" y="0"/>
                            <a:ext cx="504190" cy="504190"/>
                          </a:xfrm>
                          <a:prstGeom prst="rect">
                            <a:avLst/>
                          </a:prstGeom>
                          <a:noFill/>
                          <a:ln w="9525">
                            <a:noFill/>
                            <a:miter lim="800000"/>
                            <a:headEnd/>
                            <a:tailEnd/>
                          </a:ln>
                        </pic:spPr>
                      </pic:pic>
                    </a:graphicData>
                  </a:graphic>
                </wp:inline>
              </w:drawing>
            </w:r>
          </w:p>
        </w:tc>
        <w:tc>
          <w:tcPr>
            <w:tcW w:w="1005"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2328F3" w:rsidRDefault="002328F3" w:rsidP="008E25A5">
            <w:pPr>
              <w:spacing w:after="0"/>
              <w:jc w:val="center"/>
            </w:pPr>
            <w:r>
              <w:rPr>
                <w:noProof/>
                <w:lang w:eastAsia="de-DE"/>
              </w:rPr>
              <w:drawing>
                <wp:inline distT="0" distB="0" distL="0" distR="0" wp14:anchorId="0DE0FE4C" wp14:editId="0B8870B8">
                  <wp:extent cx="504825" cy="514350"/>
                  <wp:effectExtent l="0" t="0" r="0" b="0"/>
                  <wp:docP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pic:cNvPicPr>
                            <a:picLocks noChangeAspect="1" noChangeArrowheads="1"/>
                          </pic:cNvPicPr>
                        </pic:nvPicPr>
                        <pic:blipFill>
                          <a:blip r:embed="rId15"/>
                          <a:stretch>
                            <a:fillRect/>
                          </a:stretch>
                        </pic:blipFill>
                        <pic:spPr bwMode="auto">
                          <a:xfrm>
                            <a:off x="0" y="0"/>
                            <a:ext cx="504825" cy="514350"/>
                          </a:xfrm>
                          <a:prstGeom prst="rect">
                            <a:avLst/>
                          </a:prstGeom>
                          <a:noFill/>
                          <a:ln w="9525">
                            <a:noFill/>
                            <a:miter lim="800000"/>
                            <a:headEnd/>
                            <a:tailEnd/>
                          </a:ln>
                        </pic:spPr>
                      </pic:pic>
                    </a:graphicData>
                  </a:graphic>
                </wp:inline>
              </w:drawing>
            </w:r>
          </w:p>
        </w:tc>
        <w:tc>
          <w:tcPr>
            <w:tcW w:w="1141" w:type="dxa"/>
            <w:tcBorders>
              <w:top w:val="single" w:sz="8" w:space="0" w:color="4F81BD"/>
              <w:left w:val="single" w:sz="8" w:space="0" w:color="4F81BD"/>
              <w:bottom w:val="single" w:sz="8" w:space="0" w:color="4F81BD"/>
              <w:right w:val="single" w:sz="8" w:space="0" w:color="4F81BD"/>
            </w:tcBorders>
            <w:shd w:val="clear" w:color="auto" w:fill="auto"/>
            <w:tcMar>
              <w:left w:w="76" w:type="dxa"/>
            </w:tcMar>
            <w:vAlign w:val="center"/>
          </w:tcPr>
          <w:p w:rsidR="002328F3" w:rsidRDefault="002328F3" w:rsidP="008E25A5">
            <w:pPr>
              <w:spacing w:after="0"/>
              <w:jc w:val="center"/>
            </w:pPr>
            <w:r>
              <w:rPr>
                <w:noProof/>
                <w:lang w:eastAsia="de-DE"/>
              </w:rPr>
              <w:drawing>
                <wp:inline distT="0" distB="0" distL="0" distR="0" wp14:anchorId="0C5904C9" wp14:editId="4E194080">
                  <wp:extent cx="504190" cy="504190"/>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ic:cNvPicPr>
                            <a:picLocks noChangeAspect="1" noChangeArrowheads="1"/>
                          </pic:cNvPicPr>
                        </pic:nvPicPr>
                        <pic:blipFill>
                          <a:blip r:embed="rId16"/>
                          <a:stretch>
                            <a:fillRect/>
                          </a:stretch>
                        </pic:blipFill>
                        <pic:spPr bwMode="auto">
                          <a:xfrm>
                            <a:off x="0" y="0"/>
                            <a:ext cx="504190" cy="504190"/>
                          </a:xfrm>
                          <a:prstGeom prst="rect">
                            <a:avLst/>
                          </a:prstGeom>
                          <a:noFill/>
                          <a:ln w="9525">
                            <a:noFill/>
                            <a:miter lim="800000"/>
                            <a:headEnd/>
                            <a:tailEnd/>
                          </a:ln>
                        </pic:spPr>
                      </pic:pic>
                    </a:graphicData>
                  </a:graphic>
                </wp:inline>
              </w:drawing>
            </w:r>
          </w:p>
        </w:tc>
      </w:tr>
    </w:tbl>
    <w:p w:rsidR="002328F3" w:rsidRDefault="002328F3" w:rsidP="002328F3">
      <w:pPr>
        <w:tabs>
          <w:tab w:val="left" w:pos="1701"/>
          <w:tab w:val="left" w:pos="1985"/>
        </w:tabs>
        <w:ind w:left="1980" w:hanging="1980"/>
      </w:pPr>
    </w:p>
    <w:p w:rsidR="002328F3" w:rsidRDefault="002328F3" w:rsidP="002328F3">
      <w:pPr>
        <w:tabs>
          <w:tab w:val="left" w:pos="1701"/>
          <w:tab w:val="left" w:pos="1985"/>
        </w:tabs>
        <w:ind w:left="1984" w:hanging="1984"/>
      </w:pPr>
      <w:r>
        <w:t xml:space="preserve">Materialien: </w:t>
      </w:r>
      <w:r>
        <w:tab/>
        <w:t xml:space="preserve">      Krokodilklemmen, Spannungsquelle, Kabel, Aluminiumbleche, 250 ml  Becherglas,  Stative, 2 Klemmen, Kohleelektrode, Spannungsmessgerät</w:t>
      </w:r>
    </w:p>
    <w:p w:rsidR="002328F3" w:rsidRDefault="002328F3" w:rsidP="002328F3">
      <w:pPr>
        <w:tabs>
          <w:tab w:val="left" w:pos="1701"/>
          <w:tab w:val="left" w:pos="1985"/>
        </w:tabs>
        <w:ind w:left="1980" w:hanging="1980"/>
      </w:pPr>
      <w:r>
        <w:t>Chemikalien:</w:t>
      </w:r>
      <w:r>
        <w:tab/>
      </w:r>
      <w:r>
        <w:tab/>
        <w:t>Schwefelsäure (w = 15%)</w:t>
      </w:r>
    </w:p>
    <w:p w:rsidR="002328F3" w:rsidRDefault="002328F3" w:rsidP="002328F3">
      <w:pPr>
        <w:tabs>
          <w:tab w:val="left" w:pos="1701"/>
          <w:tab w:val="left" w:pos="1985"/>
        </w:tabs>
        <w:ind w:left="1980" w:hanging="1980"/>
      </w:pPr>
      <w:r>
        <w:t xml:space="preserve">Durchführung: </w:t>
      </w:r>
      <w:r>
        <w:tab/>
      </w:r>
      <w:r>
        <w:tab/>
      </w:r>
      <w:r>
        <w:tab/>
        <w:t>Zunächst wird das Netzteil mit dem Spannungsmessgerät und über ein Kabel mit der Kohleelektrode verbunden. Das Spannungsmessgerät wird weiterhin mit einem Kabel über eine Krokodilklemme mit einem der  Aluminiumbleche verbunden. Das Becherglas wird mit ca. 50 ml der 15%-</w:t>
      </w:r>
      <w:proofErr w:type="spellStart"/>
      <w:r>
        <w:t>igen</w:t>
      </w:r>
      <w:proofErr w:type="spellEnd"/>
      <w:r>
        <w:t xml:space="preserve"> Schwefelsäure gefüllt. Wichtig darauf zu achten ist, dass für die Elektrolyse das Aluminiumblech mit der Anode (+-Pol) und die Kohleelektrode mit dem der Kathode (-Pol) verbunden wird. Nun wird an diesem Stromkreis ein Strom mit 0,5 A und 10 V für 30 Minuten angelegt, bei dem die Elektrolyse stattfindet. </w:t>
      </w:r>
    </w:p>
    <w:p w:rsidR="002328F3" w:rsidRDefault="002328F3" w:rsidP="002328F3">
      <w:pPr>
        <w:tabs>
          <w:tab w:val="left" w:pos="1701"/>
          <w:tab w:val="left" w:pos="1985"/>
        </w:tabs>
        <w:ind w:left="1980" w:hanging="1980"/>
      </w:pPr>
      <w:r>
        <w:t>Beobachtung:</w:t>
      </w:r>
      <w:r>
        <w:tab/>
        <w:t xml:space="preserve">       Nach der Elektrolyse weist das elektrolysierte Aluminiumblech eine mattere Oberfläche auf als das unbehandelte Blech. </w:t>
      </w:r>
      <w:r>
        <w:tab/>
      </w:r>
    </w:p>
    <w:p w:rsidR="002328F3" w:rsidRDefault="002328F3" w:rsidP="002328F3">
      <w:pPr>
        <w:keepNext/>
        <w:tabs>
          <w:tab w:val="left" w:pos="1701"/>
          <w:tab w:val="left" w:pos="1985"/>
        </w:tabs>
        <w:ind w:left="1980" w:hanging="1980"/>
      </w:pPr>
    </w:p>
    <w:p w:rsidR="002328F3" w:rsidRDefault="002328F3" w:rsidP="002328F3">
      <w:pPr>
        <w:pStyle w:val="Beschriftung"/>
        <w:jc w:val="left"/>
      </w:pPr>
    </w:p>
    <w:p w:rsidR="002328F3" w:rsidRDefault="002328F3" w:rsidP="002328F3">
      <w:pPr>
        <w:tabs>
          <w:tab w:val="left" w:pos="1701"/>
          <w:tab w:val="left" w:pos="1985"/>
        </w:tabs>
      </w:pPr>
      <w:r>
        <w:rPr>
          <w:noProof/>
          <w:lang w:eastAsia="de-DE"/>
        </w:rPr>
        <w:lastRenderedPageBreak/>
        <w:drawing>
          <wp:anchor distT="0" distB="0" distL="0" distR="0" simplePos="0" relativeHeight="251660288" behindDoc="0" locked="0" layoutInCell="1" allowOverlap="1" wp14:anchorId="341079D6" wp14:editId="771EE12D">
            <wp:simplePos x="0" y="0"/>
            <wp:positionH relativeFrom="column">
              <wp:align>center</wp:align>
            </wp:positionH>
            <wp:positionV relativeFrom="paragraph">
              <wp:align>top</wp:align>
            </wp:positionV>
            <wp:extent cx="3275330" cy="2303145"/>
            <wp:effectExtent l="0" t="0" r="0" b="0"/>
            <wp:wrapSquare wrapText="largest"/>
            <wp:docPr id="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3275330" cy="2303145"/>
                    </a:xfrm>
                    <a:prstGeom prst="rect">
                      <a:avLst/>
                    </a:prstGeom>
                    <a:noFill/>
                    <a:ln w="9525">
                      <a:noFill/>
                      <a:miter lim="800000"/>
                      <a:headEnd/>
                      <a:tailEnd/>
                    </a:ln>
                  </pic:spPr>
                </pic:pic>
              </a:graphicData>
            </a:graphic>
          </wp:anchor>
        </w:drawing>
      </w:r>
    </w:p>
    <w:p w:rsidR="002328F3" w:rsidRDefault="002328F3" w:rsidP="002328F3">
      <w:pPr>
        <w:tabs>
          <w:tab w:val="left" w:pos="1701"/>
          <w:tab w:val="left" w:pos="1985"/>
        </w:tabs>
      </w:pPr>
    </w:p>
    <w:p w:rsidR="002328F3" w:rsidRDefault="002328F3" w:rsidP="002328F3">
      <w:pPr>
        <w:tabs>
          <w:tab w:val="left" w:pos="1701"/>
          <w:tab w:val="left" w:pos="1985"/>
        </w:tabs>
      </w:pPr>
    </w:p>
    <w:p w:rsidR="002328F3" w:rsidRDefault="002328F3" w:rsidP="002328F3">
      <w:pPr>
        <w:tabs>
          <w:tab w:val="left" w:pos="1701"/>
          <w:tab w:val="left" w:pos="1985"/>
        </w:tabs>
      </w:pPr>
    </w:p>
    <w:p w:rsidR="002328F3" w:rsidRDefault="002328F3" w:rsidP="002328F3">
      <w:pPr>
        <w:tabs>
          <w:tab w:val="left" w:pos="1701"/>
          <w:tab w:val="left" w:pos="1985"/>
        </w:tabs>
      </w:pPr>
    </w:p>
    <w:p w:rsidR="002328F3" w:rsidRDefault="002328F3" w:rsidP="002328F3">
      <w:pPr>
        <w:tabs>
          <w:tab w:val="left" w:pos="1701"/>
          <w:tab w:val="left" w:pos="1985"/>
        </w:tabs>
      </w:pPr>
    </w:p>
    <w:p w:rsidR="002328F3" w:rsidRDefault="002328F3" w:rsidP="002328F3">
      <w:pPr>
        <w:tabs>
          <w:tab w:val="left" w:pos="1701"/>
          <w:tab w:val="left" w:pos="1985"/>
        </w:tabs>
      </w:pPr>
    </w:p>
    <w:p w:rsidR="002328F3" w:rsidRPr="002328F3" w:rsidRDefault="002328F3" w:rsidP="002328F3">
      <w:pPr>
        <w:tabs>
          <w:tab w:val="left" w:pos="1701"/>
          <w:tab w:val="left" w:pos="1985"/>
        </w:tabs>
      </w:pPr>
      <w:r>
        <w:t xml:space="preserve">                                    </w:t>
      </w:r>
      <w:r w:rsidRPr="002328F3">
        <w:rPr>
          <w:sz w:val="20"/>
          <w:szCs w:val="20"/>
        </w:rPr>
        <w:t xml:space="preserve"> </w:t>
      </w:r>
      <w:r w:rsidRPr="002328F3">
        <w:rPr>
          <w:sz w:val="20"/>
          <w:szCs w:val="20"/>
        </w:rPr>
        <w:t>Abb.1: Eloxieren von Aluminium</w:t>
      </w:r>
    </w:p>
    <w:p w:rsidR="002328F3" w:rsidRDefault="002328F3" w:rsidP="002328F3">
      <w:pPr>
        <w:tabs>
          <w:tab w:val="left" w:pos="1701"/>
          <w:tab w:val="left" w:pos="1985"/>
        </w:tabs>
        <w:ind w:left="1984" w:hanging="2154"/>
      </w:pPr>
      <w:r>
        <w:t>Deutung:</w:t>
      </w:r>
      <w:r>
        <w:tab/>
      </w:r>
      <w:r>
        <w:tab/>
      </w:r>
      <w:r>
        <w:tab/>
        <w:t>Da das Aluminiumblech mit der Anode verbunden ist, findet hier ein Oxidationsprozess statt, bei dem zunächst die OH</w:t>
      </w:r>
      <w:r>
        <w:rPr>
          <w:vertAlign w:val="superscript"/>
        </w:rPr>
        <w:t>-</w:t>
      </w:r>
      <w:r>
        <w:t>- Ionen in der Lösung zu O</w:t>
      </w:r>
      <w:r>
        <w:rPr>
          <w:vertAlign w:val="subscript"/>
        </w:rPr>
        <w:t>2</w:t>
      </w:r>
      <w:r>
        <w:t xml:space="preserve"> oxidiert werden. Der Sauerstoff wiederum oxidiert das Aluminiumblech, es entsteht eine Aluminiumoxidschicht. Der in der wässrigen Schwefelsäurelösung befindliche Wasserstoff wird reduziert. Die </w:t>
      </w:r>
      <w:proofErr w:type="spellStart"/>
      <w:r>
        <w:t>Eloxierung</w:t>
      </w:r>
      <w:proofErr w:type="spellEnd"/>
      <w:r>
        <w:t xml:space="preserve">  läuft folgendermaßen ab:</w:t>
      </w:r>
    </w:p>
    <w:p w:rsidR="002328F3" w:rsidRDefault="002328F3" w:rsidP="002328F3">
      <w:pPr>
        <w:ind w:left="1985"/>
      </w:pPr>
      <w:r>
        <w:rPr>
          <w:rFonts w:cs="Cambria"/>
        </w:rPr>
        <w:t>Kathode (Reduktion):</w:t>
      </w:r>
      <w:r>
        <w:rPr>
          <w:rFonts w:cs="Cambria"/>
        </w:rPr>
        <w:t xml:space="preserve">         </w:t>
      </w:r>
      <w:r>
        <w:rPr>
          <w:rFonts w:cs="Cambria"/>
        </w:rPr>
        <w:t xml:space="preserve"> 2H</w:t>
      </w:r>
      <w:r>
        <w:rPr>
          <w:rFonts w:cs="Cambria"/>
          <w:vertAlign w:val="superscript"/>
        </w:rPr>
        <w:t>+</w:t>
      </w:r>
      <w:r>
        <w:rPr>
          <w:rFonts w:cs="Cambria"/>
        </w:rPr>
        <w:t xml:space="preserve"> </w:t>
      </w:r>
      <w:r>
        <w:rPr>
          <w:rFonts w:cs="Cambria"/>
          <w:vertAlign w:val="subscript"/>
        </w:rPr>
        <w:t>(</w:t>
      </w:r>
      <w:proofErr w:type="spellStart"/>
      <w:r>
        <w:rPr>
          <w:rFonts w:cs="Cambria"/>
          <w:vertAlign w:val="subscript"/>
        </w:rPr>
        <w:t>aq</w:t>
      </w:r>
      <w:proofErr w:type="spellEnd"/>
      <w:r>
        <w:rPr>
          <w:rFonts w:cs="Cambria"/>
          <w:vertAlign w:val="subscript"/>
        </w:rPr>
        <w:t>)</w:t>
      </w:r>
      <w:r>
        <w:rPr>
          <w:rFonts w:cs="Cambria"/>
        </w:rPr>
        <w:t xml:space="preserve"> + 2e</w:t>
      </w:r>
      <w:r>
        <w:rPr>
          <w:rFonts w:cs="Cambria"/>
          <w:vertAlign w:val="superscript"/>
        </w:rPr>
        <w:t>+</w:t>
      </w:r>
      <w:r>
        <w:rPr>
          <w:rFonts w:cs="Cambria"/>
        </w:rPr>
        <w:t xml:space="preserve"> </w:t>
      </w:r>
      <w:r>
        <w:rPr>
          <w:szCs w:val="26"/>
        </w:rPr>
        <w:t>→</w:t>
      </w:r>
      <w:r>
        <w:rPr>
          <w:rFonts w:cs="Cambria"/>
        </w:rPr>
        <w:t xml:space="preserve"> H</w:t>
      </w:r>
      <w:r>
        <w:rPr>
          <w:rFonts w:cs="Cambria"/>
          <w:vertAlign w:val="subscript"/>
        </w:rPr>
        <w:t>2(g)</w:t>
      </w:r>
      <w:r>
        <w:rPr>
          <w:rFonts w:cs="Cambria"/>
        </w:rPr>
        <w:t xml:space="preserve"> </w:t>
      </w:r>
    </w:p>
    <w:p w:rsidR="002328F3" w:rsidRDefault="002328F3" w:rsidP="002328F3">
      <w:pPr>
        <w:ind w:left="1985"/>
      </w:pPr>
      <w:r>
        <w:rPr>
          <w:rFonts w:cs="Cambria"/>
        </w:rPr>
        <w:t>Anode (Oxidation): 2 SO</w:t>
      </w:r>
      <w:r>
        <w:rPr>
          <w:rFonts w:cs="Cambria"/>
          <w:vertAlign w:val="subscript"/>
        </w:rPr>
        <w:t>4</w:t>
      </w:r>
      <w:r>
        <w:rPr>
          <w:rFonts w:cs="Cambria"/>
          <w:vertAlign w:val="superscript"/>
        </w:rPr>
        <w:t>2-</w:t>
      </w:r>
      <w:r>
        <w:rPr>
          <w:rFonts w:cs="Cambria"/>
          <w:position w:val="9"/>
        </w:rPr>
        <w:t xml:space="preserve"> </w:t>
      </w:r>
      <w:r>
        <w:rPr>
          <w:rFonts w:cs="Cambria"/>
          <w:vertAlign w:val="subscript"/>
        </w:rPr>
        <w:t>(</w:t>
      </w:r>
      <w:proofErr w:type="spellStart"/>
      <w:r>
        <w:rPr>
          <w:rFonts w:cs="Cambria"/>
          <w:vertAlign w:val="subscript"/>
        </w:rPr>
        <w:t>aq</w:t>
      </w:r>
      <w:proofErr w:type="spellEnd"/>
      <w:r>
        <w:rPr>
          <w:rFonts w:cs="Cambria"/>
          <w:vertAlign w:val="subscript"/>
        </w:rPr>
        <w:t>)</w:t>
      </w:r>
      <w:r>
        <w:rPr>
          <w:rFonts w:cs="Cambria"/>
        </w:rPr>
        <w:t xml:space="preserve"> +  2 H</w:t>
      </w:r>
      <w:r>
        <w:rPr>
          <w:rFonts w:cs="Cambria"/>
          <w:vertAlign w:val="subscript"/>
        </w:rPr>
        <w:t>2</w:t>
      </w:r>
      <w:r>
        <w:rPr>
          <w:rFonts w:cs="Cambria"/>
        </w:rPr>
        <w:t xml:space="preserve">O </w:t>
      </w:r>
      <w:r>
        <w:rPr>
          <w:rFonts w:cs="Cambria"/>
          <w:vertAlign w:val="subscript"/>
        </w:rPr>
        <w:t>(l)</w:t>
      </w:r>
      <w:r>
        <w:rPr>
          <w:rFonts w:cs="Cambria"/>
        </w:rPr>
        <w:t xml:space="preserve"> </w:t>
      </w:r>
      <w:r>
        <w:rPr>
          <w:szCs w:val="26"/>
        </w:rPr>
        <w:t>→</w:t>
      </w:r>
      <w:r>
        <w:rPr>
          <w:rFonts w:cs="Cambria"/>
        </w:rPr>
        <w:t xml:space="preserve"> 2 SO</w:t>
      </w:r>
      <w:r>
        <w:rPr>
          <w:rFonts w:cs="Cambria"/>
          <w:vertAlign w:val="subscript"/>
        </w:rPr>
        <w:t>4</w:t>
      </w:r>
      <w:r>
        <w:rPr>
          <w:rFonts w:cs="Cambria"/>
          <w:vertAlign w:val="superscript"/>
        </w:rPr>
        <w:t>2-</w:t>
      </w:r>
      <w:r>
        <w:rPr>
          <w:rFonts w:cs="Cambria"/>
          <w:position w:val="-6"/>
        </w:rPr>
        <w:t xml:space="preserve"> </w:t>
      </w:r>
      <w:r>
        <w:rPr>
          <w:rFonts w:cs="Cambria"/>
          <w:vertAlign w:val="subscript"/>
        </w:rPr>
        <w:t>(</w:t>
      </w:r>
      <w:proofErr w:type="spellStart"/>
      <w:r>
        <w:rPr>
          <w:rFonts w:cs="Cambria"/>
          <w:vertAlign w:val="subscript"/>
        </w:rPr>
        <w:t>aq</w:t>
      </w:r>
      <w:proofErr w:type="spellEnd"/>
      <w:r>
        <w:rPr>
          <w:rFonts w:cs="Cambria"/>
          <w:vertAlign w:val="subscript"/>
        </w:rPr>
        <w:t xml:space="preserve">) </w:t>
      </w:r>
      <w:r>
        <w:rPr>
          <w:rFonts w:cs="Cambria"/>
        </w:rPr>
        <w:t>+ 4 H</w:t>
      </w:r>
      <w:r>
        <w:rPr>
          <w:rFonts w:cs="Cambria"/>
          <w:vertAlign w:val="superscript"/>
        </w:rPr>
        <w:t>+</w:t>
      </w:r>
      <w:r>
        <w:rPr>
          <w:rFonts w:cs="Cambria"/>
        </w:rPr>
        <w:t xml:space="preserve"> </w:t>
      </w:r>
      <w:r>
        <w:rPr>
          <w:rFonts w:cs="Cambria"/>
          <w:vertAlign w:val="subscript"/>
        </w:rPr>
        <w:t>(</w:t>
      </w:r>
      <w:proofErr w:type="spellStart"/>
      <w:r>
        <w:rPr>
          <w:rFonts w:cs="Cambria"/>
          <w:vertAlign w:val="subscript"/>
        </w:rPr>
        <w:t>aq</w:t>
      </w:r>
      <w:proofErr w:type="spellEnd"/>
      <w:r>
        <w:rPr>
          <w:rFonts w:cs="Cambria"/>
          <w:vertAlign w:val="subscript"/>
        </w:rPr>
        <w:t xml:space="preserve">) </w:t>
      </w:r>
      <w:r>
        <w:rPr>
          <w:rFonts w:cs="Cambria"/>
        </w:rPr>
        <w:t>+ O</w:t>
      </w:r>
      <w:r>
        <w:rPr>
          <w:rFonts w:cs="Cambria"/>
          <w:vertAlign w:val="subscript"/>
        </w:rPr>
        <w:t>2 (g)</w:t>
      </w:r>
      <w:r>
        <w:rPr>
          <w:rFonts w:cs="Cambria"/>
        </w:rPr>
        <w:t xml:space="preserve"> + 4 e</w:t>
      </w:r>
      <w:r>
        <w:rPr>
          <w:rFonts w:cs="Cambria"/>
          <w:position w:val="9"/>
        </w:rPr>
        <w:t>-</w:t>
      </w:r>
      <w:r>
        <w:rPr>
          <w:rFonts w:cs="Cambria"/>
        </w:rPr>
        <w:t xml:space="preserve"> </w:t>
      </w:r>
    </w:p>
    <w:p w:rsidR="002328F3" w:rsidRPr="002328F3" w:rsidRDefault="002328F3" w:rsidP="002328F3">
      <w:pPr>
        <w:tabs>
          <w:tab w:val="left" w:pos="1701"/>
          <w:tab w:val="left" w:pos="1985"/>
        </w:tabs>
        <w:ind w:left="1985"/>
        <w:rPr>
          <w:lang w:val="en-US"/>
        </w:rPr>
      </w:pPr>
      <w:proofErr w:type="spellStart"/>
      <w:r w:rsidRPr="002328F3">
        <w:rPr>
          <w:rFonts w:cs="Cambria"/>
          <w:lang w:val="en-US"/>
        </w:rPr>
        <w:t>Gesamt</w:t>
      </w:r>
      <w:proofErr w:type="spellEnd"/>
      <w:r w:rsidRPr="002328F3">
        <w:rPr>
          <w:rFonts w:cs="Cambria"/>
          <w:lang w:val="en-US"/>
        </w:rPr>
        <w:t xml:space="preserve">:                           </w:t>
      </w:r>
      <w:r w:rsidRPr="002328F3">
        <w:rPr>
          <w:rFonts w:cs="Cambria"/>
          <w:lang w:val="en-US"/>
        </w:rPr>
        <w:t xml:space="preserve"> 2 Al </w:t>
      </w:r>
      <w:r w:rsidRPr="002328F3">
        <w:rPr>
          <w:rFonts w:cs="Cambria"/>
          <w:vertAlign w:val="subscript"/>
          <w:lang w:val="en-US"/>
        </w:rPr>
        <w:t>(s)</w:t>
      </w:r>
      <w:r w:rsidRPr="002328F3">
        <w:rPr>
          <w:rFonts w:cs="Cambria"/>
          <w:lang w:val="en-US"/>
        </w:rPr>
        <w:t xml:space="preserve"> + </w:t>
      </w:r>
      <w:proofErr w:type="gramStart"/>
      <w:r w:rsidRPr="002328F3">
        <w:rPr>
          <w:rFonts w:cs="Cambria"/>
          <w:lang w:val="en-US"/>
        </w:rPr>
        <w:t>3O</w:t>
      </w:r>
      <w:r w:rsidRPr="002328F3">
        <w:rPr>
          <w:rFonts w:cs="Cambria"/>
          <w:vertAlign w:val="subscript"/>
          <w:lang w:val="en-US"/>
        </w:rPr>
        <w:t>2</w:t>
      </w:r>
      <w:r w:rsidRPr="002328F3">
        <w:rPr>
          <w:rFonts w:cs="Cambria"/>
          <w:szCs w:val="26"/>
          <w:lang w:val="en-US"/>
        </w:rPr>
        <w:t xml:space="preserve"> </w:t>
      </w:r>
      <w:r w:rsidRPr="002328F3">
        <w:rPr>
          <w:rFonts w:cs="Cambria"/>
          <w:lang w:val="en-US"/>
        </w:rPr>
        <w:t xml:space="preserve"> </w:t>
      </w:r>
      <w:r w:rsidRPr="002328F3">
        <w:rPr>
          <w:rFonts w:cs="Cambria"/>
          <w:vertAlign w:val="subscript"/>
          <w:lang w:val="en-US"/>
        </w:rPr>
        <w:t>(</w:t>
      </w:r>
      <w:proofErr w:type="gramEnd"/>
      <w:r w:rsidRPr="002328F3">
        <w:rPr>
          <w:rFonts w:cs="Cambria"/>
          <w:vertAlign w:val="subscript"/>
          <w:lang w:val="en-US"/>
        </w:rPr>
        <w:t>g)</w:t>
      </w:r>
      <w:r w:rsidRPr="002328F3">
        <w:rPr>
          <w:rFonts w:cs="Cambria"/>
          <w:lang w:val="en-US"/>
        </w:rPr>
        <w:t xml:space="preserve"> </w:t>
      </w:r>
      <w:r w:rsidRPr="002328F3">
        <w:rPr>
          <w:rFonts w:cs="Cambria"/>
          <w:vertAlign w:val="subscript"/>
          <w:lang w:val="en-US"/>
        </w:rPr>
        <w:t xml:space="preserve"> </w:t>
      </w:r>
      <w:r w:rsidRPr="002328F3">
        <w:rPr>
          <w:szCs w:val="26"/>
          <w:lang w:val="en-US"/>
        </w:rPr>
        <w:t>→</w:t>
      </w:r>
      <w:r w:rsidRPr="002328F3">
        <w:rPr>
          <w:rFonts w:cs="Cambria"/>
          <w:lang w:val="en-US"/>
        </w:rPr>
        <w:t>Al</w:t>
      </w:r>
      <w:r w:rsidRPr="002328F3">
        <w:rPr>
          <w:rFonts w:cs="Cambria"/>
          <w:vertAlign w:val="subscript"/>
          <w:lang w:val="en-US"/>
        </w:rPr>
        <w:t>2</w:t>
      </w:r>
      <w:r w:rsidRPr="002328F3">
        <w:rPr>
          <w:rFonts w:cs="Cambria"/>
          <w:lang w:val="en-US"/>
        </w:rPr>
        <w:t>O</w:t>
      </w:r>
      <w:r w:rsidRPr="002328F3">
        <w:rPr>
          <w:rFonts w:cs="Cambria"/>
          <w:vertAlign w:val="subscript"/>
          <w:lang w:val="en-US"/>
        </w:rPr>
        <w:t>3</w:t>
      </w:r>
      <w:r w:rsidRPr="002328F3">
        <w:rPr>
          <w:rFonts w:cs="Cambria"/>
          <w:position w:val="-6"/>
          <w:lang w:val="en-US"/>
        </w:rPr>
        <w:t xml:space="preserve"> </w:t>
      </w:r>
      <w:r w:rsidRPr="002328F3">
        <w:rPr>
          <w:rFonts w:cs="Cambria"/>
          <w:vertAlign w:val="subscript"/>
          <w:lang w:val="en-US"/>
        </w:rPr>
        <w:t>(s)</w:t>
      </w:r>
      <w:r w:rsidRPr="002328F3">
        <w:rPr>
          <w:rFonts w:cs="Cambria"/>
          <w:lang w:val="en-US"/>
        </w:rPr>
        <w:t xml:space="preserve"> </w:t>
      </w:r>
    </w:p>
    <w:p w:rsidR="002328F3" w:rsidRDefault="002328F3" w:rsidP="002328F3">
      <w:pPr>
        <w:tabs>
          <w:tab w:val="left" w:pos="1701"/>
          <w:tab w:val="left" w:pos="1985"/>
        </w:tabs>
        <w:ind w:left="1985"/>
      </w:pPr>
      <w:r>
        <w:rPr>
          <w:rFonts w:cs="Cambria"/>
        </w:rPr>
        <w:t xml:space="preserve">Die Aluminiumoxidschicht ist schützt nun das Aluminium vor weiterer   Korrosion, derartig behandelte Aluminiumteile finden Verwendung in kommerziellen Anwendungen wie Leitern, Karosserien, etc. Dieser Versuch verdeutlicht die Relevanz der Elektrolyse für  die  Herstellung bzw. Haltbarmachung  von Alltagsgegenständen.                                          </w:t>
      </w:r>
    </w:p>
    <w:p w:rsidR="002328F3" w:rsidRDefault="002328F3" w:rsidP="002328F3">
      <w:pPr>
        <w:tabs>
          <w:tab w:val="left" w:pos="1701"/>
          <w:tab w:val="left" w:pos="1985"/>
        </w:tabs>
        <w:ind w:left="1980" w:hanging="1980"/>
        <w:rPr>
          <w:rFonts w:eastAsiaTheme="minorEastAsia"/>
          <w:color w:val="1D1B11"/>
        </w:rPr>
      </w:pPr>
    </w:p>
    <w:p w:rsidR="002328F3" w:rsidRDefault="002328F3" w:rsidP="002328F3">
      <w:pPr>
        <w:spacing w:line="276" w:lineRule="auto"/>
        <w:jc w:val="left"/>
      </w:pPr>
      <w:r>
        <w:t>Entsorgung:</w:t>
      </w:r>
      <w:r>
        <w:tab/>
        <w:t xml:space="preserve">           Die Schwefelsäure kann über den Säure-Base Abfall entsorgt </w:t>
      </w:r>
      <w:proofErr w:type="gramStart"/>
      <w:r>
        <w:t>werden</w:t>
      </w:r>
      <w:proofErr w:type="gramEnd"/>
      <w:r>
        <w:t xml:space="preserve">. </w:t>
      </w:r>
    </w:p>
    <w:p w:rsidR="002328F3" w:rsidRDefault="002328F3" w:rsidP="002328F3">
      <w:pPr>
        <w:spacing w:line="276" w:lineRule="auto"/>
        <w:ind w:left="1985" w:hanging="1985"/>
        <w:jc w:val="left"/>
      </w:pPr>
    </w:p>
    <w:p w:rsidR="002328F3" w:rsidRDefault="002328F3" w:rsidP="002328F3">
      <w:pPr>
        <w:spacing w:line="276" w:lineRule="auto"/>
        <w:ind w:left="1985" w:hanging="1985"/>
        <w:jc w:val="left"/>
      </w:pPr>
      <w:r>
        <w:t xml:space="preserve"> Literatur:                     www.chemieunterricht.de/dc2/echemie/eloxalv.html, Blume, 2013,                  aufgerufen am 8.8.2015</w:t>
      </w:r>
    </w:p>
    <w:p w:rsidR="002328F3" w:rsidRDefault="002328F3" w:rsidP="002328F3">
      <w:pPr>
        <w:spacing w:line="276" w:lineRule="auto"/>
        <w:ind w:left="2098" w:hanging="1814"/>
        <w:rPr>
          <w:color w:val="00000A"/>
        </w:rPr>
      </w:pPr>
      <w:bookmarkStart w:id="1" w:name="_Toc425843930"/>
      <w:bookmarkEnd w:id="1"/>
    </w:p>
    <w:p w:rsidR="002328F3" w:rsidRDefault="002328F3" w:rsidP="002328F3">
      <w:pPr>
        <w:spacing w:line="276" w:lineRule="auto"/>
        <w:ind w:left="2098" w:hanging="1814"/>
        <w:rPr>
          <w:color w:val="00000A"/>
        </w:rPr>
      </w:pPr>
    </w:p>
    <w:p w:rsidR="004774FF" w:rsidRDefault="0004028B"/>
    <w:sectPr w:rsidR="004774FF">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8F3" w:rsidRDefault="002328F3" w:rsidP="002328F3">
      <w:pPr>
        <w:spacing w:after="0" w:line="240" w:lineRule="auto"/>
      </w:pPr>
      <w:r>
        <w:separator/>
      </w:r>
    </w:p>
  </w:endnote>
  <w:endnote w:type="continuationSeparator" w:id="0">
    <w:p w:rsidR="002328F3" w:rsidRDefault="002328F3" w:rsidP="0023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23" w:rsidRDefault="0005292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23" w:rsidRDefault="0005292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23" w:rsidRDefault="0005292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8F3" w:rsidRDefault="002328F3" w:rsidP="002328F3">
      <w:pPr>
        <w:spacing w:after="0" w:line="240" w:lineRule="auto"/>
      </w:pPr>
      <w:r>
        <w:separator/>
      </w:r>
    </w:p>
  </w:footnote>
  <w:footnote w:type="continuationSeparator" w:id="0">
    <w:p w:rsidR="002328F3" w:rsidRDefault="002328F3" w:rsidP="00232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23" w:rsidRDefault="0005292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3" w:rsidRDefault="002328F3">
    <w:pPr>
      <w:pStyle w:val="Kopfzeile"/>
    </w:pPr>
    <w:r>
      <w:t xml:space="preserve">V3 – Das </w:t>
    </w:r>
    <w:proofErr w:type="spellStart"/>
    <w:r>
      <w:t>Eloxalverfahren</w:t>
    </w:r>
    <w:proofErr w:type="spellEnd"/>
  </w:p>
  <w:p w:rsidR="002328F3" w:rsidRDefault="002328F3">
    <w:pPr>
      <w:pStyle w:val="Kopfzeile"/>
    </w:pPr>
    <w:bookmarkStart w:id="2" w:name="_GoBack"/>
    <w:r>
      <w:rPr>
        <w:noProof/>
        <w:lang w:eastAsia="de-DE"/>
      </w:rPr>
      <w:drawing>
        <wp:inline distT="0" distB="0" distL="0" distR="0" wp14:anchorId="5E464404" wp14:editId="48AC233F">
          <wp:extent cx="5760720" cy="177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7780"/>
                  </a:xfrm>
                  <a:prstGeom prst="rect">
                    <a:avLst/>
                  </a:prstGeom>
                  <a:noFill/>
                </pic:spPr>
              </pic:pic>
            </a:graphicData>
          </a:graphic>
        </wp:inline>
      </w:drawing>
    </w:r>
    <w:bookmarkEnd w:id="2"/>
  </w:p>
  <w:p w:rsidR="002328F3" w:rsidRDefault="002328F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23" w:rsidRDefault="0005292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C32E9"/>
    <w:multiLevelType w:val="multilevel"/>
    <w:tmpl w:val="B51EB9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F3"/>
    <w:rsid w:val="0004028B"/>
    <w:rsid w:val="00052923"/>
    <w:rsid w:val="002328F3"/>
    <w:rsid w:val="003E4EE1"/>
    <w:rsid w:val="00AE4D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28F3"/>
    <w:pPr>
      <w:suppressAutoHyphens/>
      <w:spacing w:line="360" w:lineRule="auto"/>
      <w:jc w:val="both"/>
    </w:pPr>
    <w:rPr>
      <w:rFonts w:ascii="Cambria" w:eastAsia="Calibri" w:hAnsi="Cambria"/>
      <w:color w:val="1D1B11" w:themeColor="background2" w:themeShade="1A"/>
    </w:rPr>
  </w:style>
  <w:style w:type="paragraph" w:styleId="berschrift2">
    <w:name w:val="heading 2"/>
    <w:basedOn w:val="Standard"/>
    <w:next w:val="Standard"/>
    <w:link w:val="berschrift2Zchn"/>
    <w:uiPriority w:val="9"/>
    <w:unhideWhenUsed/>
    <w:qFormat/>
    <w:rsid w:val="002328F3"/>
    <w:pPr>
      <w:keepNext/>
      <w:keepLines/>
      <w:spacing w:before="200"/>
      <w:outlineLvl w:val="1"/>
    </w:pPr>
    <w:rPr>
      <w:rFonts w:asciiTheme="majorHAnsi" w:eastAsiaTheme="majorEastAsia" w:hAnsiTheme="majorHAnsi"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328F3"/>
    <w:rPr>
      <w:rFonts w:asciiTheme="majorHAnsi" w:eastAsiaTheme="majorEastAsia" w:hAnsiTheme="majorHAnsi" w:cstheme="majorBidi"/>
      <w:b/>
      <w:bCs/>
      <w:color w:val="1D1B11" w:themeColor="background2" w:themeShade="1A"/>
      <w:szCs w:val="26"/>
    </w:rPr>
  </w:style>
  <w:style w:type="paragraph" w:styleId="Beschriftung">
    <w:name w:val="caption"/>
    <w:basedOn w:val="Standard"/>
    <w:next w:val="Standard"/>
    <w:uiPriority w:val="35"/>
    <w:unhideWhenUsed/>
    <w:qFormat/>
    <w:rsid w:val="002328F3"/>
    <w:pPr>
      <w:spacing w:line="240" w:lineRule="auto"/>
    </w:pPr>
    <w:rPr>
      <w:bCs/>
      <w:color w:val="00000A"/>
      <w:sz w:val="18"/>
      <w:szCs w:val="18"/>
    </w:rPr>
  </w:style>
  <w:style w:type="paragraph" w:customStyle="1" w:styleId="Rahmeninhalt">
    <w:name w:val="Rahmeninhalt"/>
    <w:basedOn w:val="Standard"/>
    <w:qFormat/>
    <w:rsid w:val="002328F3"/>
  </w:style>
  <w:style w:type="paragraph" w:styleId="Sprechblasentext">
    <w:name w:val="Balloon Text"/>
    <w:basedOn w:val="Standard"/>
    <w:link w:val="SprechblasentextZchn"/>
    <w:uiPriority w:val="99"/>
    <w:semiHidden/>
    <w:unhideWhenUsed/>
    <w:rsid w:val="002328F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28F3"/>
    <w:rPr>
      <w:rFonts w:ascii="Tahoma" w:eastAsia="Calibri" w:hAnsi="Tahoma" w:cs="Tahoma"/>
      <w:color w:val="1D1B11" w:themeColor="background2" w:themeShade="1A"/>
      <w:sz w:val="16"/>
      <w:szCs w:val="16"/>
    </w:rPr>
  </w:style>
  <w:style w:type="paragraph" w:styleId="Kopfzeile">
    <w:name w:val="header"/>
    <w:basedOn w:val="Standard"/>
    <w:link w:val="KopfzeileZchn"/>
    <w:uiPriority w:val="99"/>
    <w:unhideWhenUsed/>
    <w:rsid w:val="002328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8F3"/>
    <w:rPr>
      <w:rFonts w:ascii="Cambria" w:eastAsia="Calibri" w:hAnsi="Cambria"/>
      <w:color w:val="1D1B11" w:themeColor="background2" w:themeShade="1A"/>
    </w:rPr>
  </w:style>
  <w:style w:type="paragraph" w:styleId="Fuzeile">
    <w:name w:val="footer"/>
    <w:basedOn w:val="Standard"/>
    <w:link w:val="FuzeileZchn"/>
    <w:uiPriority w:val="99"/>
    <w:unhideWhenUsed/>
    <w:rsid w:val="002328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28F3"/>
    <w:rPr>
      <w:rFonts w:ascii="Cambria" w:eastAsia="Calibri" w:hAnsi="Cambria"/>
      <w:color w:val="1D1B11" w:themeColor="background2" w:themeShade="1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28F3"/>
    <w:pPr>
      <w:suppressAutoHyphens/>
      <w:spacing w:line="360" w:lineRule="auto"/>
      <w:jc w:val="both"/>
    </w:pPr>
    <w:rPr>
      <w:rFonts w:ascii="Cambria" w:eastAsia="Calibri" w:hAnsi="Cambria"/>
      <w:color w:val="1D1B11" w:themeColor="background2" w:themeShade="1A"/>
    </w:rPr>
  </w:style>
  <w:style w:type="paragraph" w:styleId="berschrift2">
    <w:name w:val="heading 2"/>
    <w:basedOn w:val="Standard"/>
    <w:next w:val="Standard"/>
    <w:link w:val="berschrift2Zchn"/>
    <w:uiPriority w:val="9"/>
    <w:unhideWhenUsed/>
    <w:qFormat/>
    <w:rsid w:val="002328F3"/>
    <w:pPr>
      <w:keepNext/>
      <w:keepLines/>
      <w:spacing w:before="200"/>
      <w:outlineLvl w:val="1"/>
    </w:pPr>
    <w:rPr>
      <w:rFonts w:asciiTheme="majorHAnsi" w:eastAsiaTheme="majorEastAsia" w:hAnsiTheme="majorHAnsi"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328F3"/>
    <w:rPr>
      <w:rFonts w:asciiTheme="majorHAnsi" w:eastAsiaTheme="majorEastAsia" w:hAnsiTheme="majorHAnsi" w:cstheme="majorBidi"/>
      <w:b/>
      <w:bCs/>
      <w:color w:val="1D1B11" w:themeColor="background2" w:themeShade="1A"/>
      <w:szCs w:val="26"/>
    </w:rPr>
  </w:style>
  <w:style w:type="paragraph" w:styleId="Beschriftung">
    <w:name w:val="caption"/>
    <w:basedOn w:val="Standard"/>
    <w:next w:val="Standard"/>
    <w:uiPriority w:val="35"/>
    <w:unhideWhenUsed/>
    <w:qFormat/>
    <w:rsid w:val="002328F3"/>
    <w:pPr>
      <w:spacing w:line="240" w:lineRule="auto"/>
    </w:pPr>
    <w:rPr>
      <w:bCs/>
      <w:color w:val="00000A"/>
      <w:sz w:val="18"/>
      <w:szCs w:val="18"/>
    </w:rPr>
  </w:style>
  <w:style w:type="paragraph" w:customStyle="1" w:styleId="Rahmeninhalt">
    <w:name w:val="Rahmeninhalt"/>
    <w:basedOn w:val="Standard"/>
    <w:qFormat/>
    <w:rsid w:val="002328F3"/>
  </w:style>
  <w:style w:type="paragraph" w:styleId="Sprechblasentext">
    <w:name w:val="Balloon Text"/>
    <w:basedOn w:val="Standard"/>
    <w:link w:val="SprechblasentextZchn"/>
    <w:uiPriority w:val="99"/>
    <w:semiHidden/>
    <w:unhideWhenUsed/>
    <w:rsid w:val="002328F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28F3"/>
    <w:rPr>
      <w:rFonts w:ascii="Tahoma" w:eastAsia="Calibri" w:hAnsi="Tahoma" w:cs="Tahoma"/>
      <w:color w:val="1D1B11" w:themeColor="background2" w:themeShade="1A"/>
      <w:sz w:val="16"/>
      <w:szCs w:val="16"/>
    </w:rPr>
  </w:style>
  <w:style w:type="paragraph" w:styleId="Kopfzeile">
    <w:name w:val="header"/>
    <w:basedOn w:val="Standard"/>
    <w:link w:val="KopfzeileZchn"/>
    <w:uiPriority w:val="99"/>
    <w:unhideWhenUsed/>
    <w:rsid w:val="002328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8F3"/>
    <w:rPr>
      <w:rFonts w:ascii="Cambria" w:eastAsia="Calibri" w:hAnsi="Cambria"/>
      <w:color w:val="1D1B11" w:themeColor="background2" w:themeShade="1A"/>
    </w:rPr>
  </w:style>
  <w:style w:type="paragraph" w:styleId="Fuzeile">
    <w:name w:val="footer"/>
    <w:basedOn w:val="Standard"/>
    <w:link w:val="FuzeileZchn"/>
    <w:uiPriority w:val="99"/>
    <w:unhideWhenUsed/>
    <w:rsid w:val="002328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28F3"/>
    <w:rPr>
      <w:rFonts w:ascii="Cambria" w:eastAsia="Calibri"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2031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2</cp:revision>
  <cp:lastPrinted>2015-08-23T00:01:00Z</cp:lastPrinted>
  <dcterms:created xsi:type="dcterms:W3CDTF">2015-08-22T23:55:00Z</dcterms:created>
  <dcterms:modified xsi:type="dcterms:W3CDTF">2015-08-23T00:36:00Z</dcterms:modified>
</cp:coreProperties>
</file>