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98" w:rsidRDefault="00B72098" w:rsidP="00B72098">
      <w:pPr>
        <w:pStyle w:val="berschrift1"/>
        <w:numPr>
          <w:ilvl w:val="0"/>
          <w:numId w:val="0"/>
        </w:numPr>
        <w:ind w:left="432" w:hanging="432"/>
      </w:pPr>
      <w:bookmarkStart w:id="0" w:name="_Toc427052427"/>
      <w:r>
        <w:t>Lehrerversuch – Kalkbrennen und Kalklöschen</w:t>
      </w:r>
      <w:bookmarkEnd w:id="0"/>
    </w:p>
    <w:p w:rsidR="00B72098" w:rsidRDefault="00B72098" w:rsidP="00B72098">
      <w:pPr>
        <w:rPr>
          <w:rFonts w:asciiTheme="majorHAnsi" w:eastAsiaTheme="majorEastAsia" w:hAnsiTheme="majorHAnsi" w:cstheme="majorBidi"/>
          <w:b/>
          <w:bCs/>
          <w:szCs w:val="26"/>
        </w:rPr>
      </w:pPr>
      <w:bookmarkStart w:id="1" w:name="_Toc425776595"/>
      <w:r w:rsidRPr="007D6B92">
        <w:rPr>
          <w:noProof/>
          <w:lang w:val="en-US"/>
        </w:rPr>
        <w:pict>
          <v:shapetype id="_x0000_t202" coordsize="21600,21600" o:spt="202" path="m,l,21600r21600,l21600,xe">
            <v:stroke joinstyle="miter"/>
            <v:path gradientshapeok="t" o:connecttype="rect"/>
          </v:shapetype>
          <v:shape id="Text Box 60" o:spid="_x0000_s1027" type="#_x0000_t202" style="position:absolute;left:0;text-align:left;margin-left:-1.4pt;margin-top:11.75pt;width:462.45pt;height:15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" fillcolor="white [3201]" strokecolor="#4bacc6 [3208]" strokeweight="1pt">
            <v:stroke dashstyle="dash"/>
            <v:shadow color="#868686"/>
            <v:textbox style="mso-next-textbox:#Text Box 60">
              <w:txbxContent>
                <w:p w:rsidR="00B72098" w:rsidRPr="00F31EBF" w:rsidRDefault="00B72098" w:rsidP="00B72098">
                  <w:pPr>
                    <w:rPr>
                      <w:color w:val="auto"/>
                    </w:rPr>
                  </w:pPr>
                  <w:r>
                    <w:rPr>
                      <w:color w:val="auto"/>
                    </w:rPr>
                    <w:t xml:space="preserve">Die </w:t>
                  </w:r>
                  <w:proofErr w:type="spellStart"/>
                  <w:r>
                    <w:rPr>
                      <w:color w:val="auto"/>
                    </w:rPr>
                    <w:t>SuS</w:t>
                  </w:r>
                  <w:proofErr w:type="spellEnd"/>
                  <w:r>
                    <w:rPr>
                      <w:color w:val="auto"/>
                    </w:rPr>
                    <w:t xml:space="preserve"> lernen den Kalkstein als wichtigen Rohstoff für die Bauindustrie kennen und können nachvollziehen, wie dieser verarbeitet wird. Das Kalkbrennen und Kalklöschen wird zunächst als Lehrerversuch vorgeführt, um die Theorie hinter den Prozessen (Säure-Base Begriff nach Arrhenius) zu erarbeiten. Anschließend sollte der gesamte Kreisprozess inklusive des Kalk Abbindens von den Schülern durchgeführt werden. Wegen Zeitmangels wurde der Schritt des Kalk Abbindens nicht durchgeführt. Der Vollständigkeit halber wird er an dieser Stelle trot</w:t>
                  </w:r>
                  <w:r>
                    <w:rPr>
                      <w:color w:val="auto"/>
                    </w:rPr>
                    <w:t>z</w:t>
                  </w:r>
                  <w:r>
                    <w:rPr>
                      <w:color w:val="auto"/>
                    </w:rPr>
                    <w:t xml:space="preserve">dem theoretisch beschrieben. Der Nachweis von Kohlenstoffdioxid mit Kalkwasser sollte den </w:t>
                  </w:r>
                  <w:proofErr w:type="spellStart"/>
                  <w:r>
                    <w:rPr>
                      <w:color w:val="auto"/>
                    </w:rPr>
                    <w:t>SuS</w:t>
                  </w:r>
                  <w:proofErr w:type="spellEnd"/>
                  <w:r>
                    <w:rPr>
                      <w:color w:val="auto"/>
                    </w:rPr>
                    <w:t xml:space="preserve"> bekannt sein. </w:t>
                  </w:r>
                </w:p>
              </w:txbxContent>
            </v:textbox>
            <w10:wrap type="square"/>
          </v:shape>
        </w:pict>
      </w:r>
      <w:bookmarkEnd w:id="1"/>
    </w:p>
    <w:p w:rsidR="00B72098" w:rsidRPr="000D470B" w:rsidRDefault="00B72098" w:rsidP="00B72098"/>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B72098" w:rsidRPr="009C5E28" w:rsidTr="000C6875">
        <w:tc>
          <w:tcPr>
            <w:tcW w:w="9322" w:type="dxa"/>
            <w:gridSpan w:val="9"/>
            <w:shd w:val="clear" w:color="auto" w:fill="4F81BD"/>
            <w:vAlign w:val="center"/>
          </w:tcPr>
          <w:p w:rsidR="00B72098" w:rsidRPr="00F31EBF" w:rsidRDefault="00B72098" w:rsidP="000C6875">
            <w:pPr>
              <w:spacing w:after="0"/>
              <w:jc w:val="center"/>
              <w:rPr>
                <w:b/>
                <w:bCs/>
                <w:color w:val="FFFFFF" w:themeColor="background1"/>
              </w:rPr>
            </w:pPr>
            <w:r w:rsidRPr="00F31EBF">
              <w:rPr>
                <w:b/>
                <w:bCs/>
                <w:color w:val="FFFFFF" w:themeColor="background1"/>
              </w:rPr>
              <w:t>Gefahrenstoffe</w:t>
            </w:r>
          </w:p>
        </w:tc>
      </w:tr>
      <w:tr w:rsidR="00B72098" w:rsidRPr="009C5E28" w:rsidTr="000C6875">
        <w:trPr>
          <w:trHeight w:val="437"/>
        </w:trPr>
        <w:tc>
          <w:tcPr>
            <w:tcW w:w="3027" w:type="dxa"/>
            <w:gridSpan w:val="3"/>
            <w:shd w:val="clear" w:color="auto" w:fill="auto"/>
            <w:vAlign w:val="center"/>
          </w:tcPr>
          <w:p w:rsidR="00B72098" w:rsidRPr="009C5E28" w:rsidRDefault="00B72098" w:rsidP="000C6875">
            <w:pPr>
              <w:spacing w:after="0" w:line="276" w:lineRule="auto"/>
              <w:jc w:val="center"/>
              <w:rPr>
                <w:b/>
                <w:bCs/>
              </w:rPr>
            </w:pPr>
            <w:proofErr w:type="spellStart"/>
            <w:r>
              <w:rPr>
                <w:sz w:val="20"/>
              </w:rPr>
              <w:t>Calciumcarbonat</w:t>
            </w:r>
            <w:proofErr w:type="spellEnd"/>
          </w:p>
        </w:tc>
        <w:tc>
          <w:tcPr>
            <w:tcW w:w="3177" w:type="dxa"/>
            <w:gridSpan w:val="3"/>
            <w:shd w:val="clear" w:color="auto" w:fill="auto"/>
            <w:vAlign w:val="center"/>
          </w:tcPr>
          <w:p w:rsidR="00B72098" w:rsidRPr="009C5E28" w:rsidRDefault="00B72098" w:rsidP="000C6875">
            <w:pPr>
              <w:spacing w:after="0"/>
              <w:jc w:val="center"/>
            </w:pPr>
            <w:r>
              <w:rPr>
                <w:sz w:val="20"/>
              </w:rPr>
              <w:t>H: -</w:t>
            </w:r>
          </w:p>
        </w:tc>
        <w:tc>
          <w:tcPr>
            <w:tcW w:w="3118" w:type="dxa"/>
            <w:gridSpan w:val="3"/>
            <w:shd w:val="clear" w:color="auto" w:fill="auto"/>
            <w:vAlign w:val="center"/>
          </w:tcPr>
          <w:p w:rsidR="00B72098" w:rsidRPr="009C5E28" w:rsidRDefault="00B72098" w:rsidP="000C6875">
            <w:pPr>
              <w:spacing w:after="0"/>
              <w:jc w:val="center"/>
            </w:pPr>
            <w:r>
              <w:rPr>
                <w:sz w:val="20"/>
              </w:rPr>
              <w:t>P: -</w:t>
            </w:r>
          </w:p>
        </w:tc>
      </w:tr>
      <w:tr w:rsidR="00B72098" w:rsidRPr="009C5E28" w:rsidTr="000C6875">
        <w:trPr>
          <w:trHeight w:val="434"/>
        </w:trPr>
        <w:tc>
          <w:tcPr>
            <w:tcW w:w="3027" w:type="dxa"/>
            <w:gridSpan w:val="3"/>
            <w:shd w:val="clear" w:color="auto" w:fill="auto"/>
            <w:vAlign w:val="center"/>
          </w:tcPr>
          <w:p w:rsidR="00B72098" w:rsidRPr="009C5E28" w:rsidRDefault="00B72098" w:rsidP="000C6875">
            <w:pPr>
              <w:spacing w:after="0" w:line="276" w:lineRule="auto"/>
              <w:jc w:val="center"/>
              <w:rPr>
                <w:bCs/>
                <w:sz w:val="20"/>
              </w:rPr>
            </w:pPr>
            <w:proofErr w:type="spellStart"/>
            <w:r>
              <w:rPr>
                <w:color w:val="auto"/>
                <w:sz w:val="20"/>
                <w:szCs w:val="20"/>
              </w:rPr>
              <w:t>Calciumoxid</w:t>
            </w:r>
            <w:proofErr w:type="spellEnd"/>
            <w:r>
              <w:rPr>
                <w:color w:val="auto"/>
                <w:sz w:val="20"/>
                <w:szCs w:val="20"/>
              </w:rPr>
              <w:t xml:space="preserve"> „Kalk gebrannt“</w:t>
            </w:r>
          </w:p>
        </w:tc>
        <w:tc>
          <w:tcPr>
            <w:tcW w:w="3177" w:type="dxa"/>
            <w:gridSpan w:val="3"/>
            <w:shd w:val="clear" w:color="auto" w:fill="auto"/>
            <w:vAlign w:val="center"/>
          </w:tcPr>
          <w:p w:rsidR="00B72098" w:rsidRPr="00AE3930" w:rsidRDefault="00B72098" w:rsidP="000C6875">
            <w:pPr>
              <w:pStyle w:val="Beschriftung"/>
              <w:spacing w:after="0"/>
              <w:jc w:val="center"/>
              <w:rPr>
                <w:sz w:val="20"/>
                <w:szCs w:val="20"/>
              </w:rPr>
            </w:pPr>
            <w:r w:rsidRPr="00AE3930">
              <w:rPr>
                <w:sz w:val="20"/>
                <w:szCs w:val="20"/>
              </w:rPr>
              <w:t>H: 315-318-335</w:t>
            </w:r>
          </w:p>
        </w:tc>
        <w:tc>
          <w:tcPr>
            <w:tcW w:w="3118" w:type="dxa"/>
            <w:gridSpan w:val="3"/>
            <w:shd w:val="clear" w:color="auto" w:fill="auto"/>
            <w:vAlign w:val="center"/>
          </w:tcPr>
          <w:p w:rsidR="00B72098" w:rsidRPr="009C5E28" w:rsidRDefault="00B72098" w:rsidP="000C6875">
            <w:pPr>
              <w:pStyle w:val="Beschriftung"/>
              <w:spacing w:after="0"/>
              <w:jc w:val="center"/>
              <w:rPr>
                <w:sz w:val="20"/>
              </w:rPr>
            </w:pPr>
            <w:r w:rsidRPr="009C5E28">
              <w:rPr>
                <w:sz w:val="20"/>
              </w:rPr>
              <w:t xml:space="preserve">P: </w:t>
            </w:r>
            <w:r>
              <w:rPr>
                <w:sz w:val="20"/>
              </w:rPr>
              <w:t>261-280-351+305+338</w:t>
            </w:r>
          </w:p>
        </w:tc>
      </w:tr>
      <w:tr w:rsidR="00B72098" w:rsidRPr="009C5E28" w:rsidTr="000C6875">
        <w:trPr>
          <w:trHeight w:val="434"/>
        </w:trPr>
        <w:tc>
          <w:tcPr>
            <w:tcW w:w="3027" w:type="dxa"/>
            <w:gridSpan w:val="3"/>
            <w:shd w:val="clear" w:color="auto" w:fill="auto"/>
            <w:vAlign w:val="center"/>
          </w:tcPr>
          <w:p w:rsidR="00B72098" w:rsidRDefault="00B72098" w:rsidP="000C6875">
            <w:pPr>
              <w:spacing w:after="0" w:line="276" w:lineRule="auto"/>
              <w:jc w:val="center"/>
              <w:rPr>
                <w:color w:val="auto"/>
                <w:sz w:val="20"/>
                <w:szCs w:val="20"/>
              </w:rPr>
            </w:pPr>
            <w:proofErr w:type="spellStart"/>
            <w:r>
              <w:rPr>
                <w:color w:val="auto"/>
                <w:sz w:val="20"/>
                <w:szCs w:val="20"/>
              </w:rPr>
              <w:t>Calciumhydroxid</w:t>
            </w:r>
            <w:proofErr w:type="spellEnd"/>
            <w:r>
              <w:rPr>
                <w:color w:val="auto"/>
                <w:sz w:val="20"/>
                <w:szCs w:val="20"/>
              </w:rPr>
              <w:t xml:space="preserve"> „Kalk gelöscht“</w:t>
            </w:r>
          </w:p>
        </w:tc>
        <w:tc>
          <w:tcPr>
            <w:tcW w:w="3177" w:type="dxa"/>
            <w:gridSpan w:val="3"/>
            <w:shd w:val="clear" w:color="auto" w:fill="auto"/>
            <w:vAlign w:val="center"/>
          </w:tcPr>
          <w:p w:rsidR="00B72098" w:rsidRPr="009C5E28" w:rsidRDefault="00B72098" w:rsidP="000C6875">
            <w:pPr>
              <w:pStyle w:val="Beschriftung"/>
              <w:spacing w:after="0"/>
              <w:jc w:val="center"/>
              <w:rPr>
                <w:sz w:val="20"/>
              </w:rPr>
            </w:pPr>
            <w:r>
              <w:rPr>
                <w:sz w:val="20"/>
              </w:rPr>
              <w:t>H: 315-318-335</w:t>
            </w:r>
          </w:p>
        </w:tc>
        <w:tc>
          <w:tcPr>
            <w:tcW w:w="3118" w:type="dxa"/>
            <w:gridSpan w:val="3"/>
            <w:shd w:val="clear" w:color="auto" w:fill="auto"/>
            <w:vAlign w:val="center"/>
          </w:tcPr>
          <w:p w:rsidR="00B72098" w:rsidRPr="009C5E28" w:rsidRDefault="00B72098" w:rsidP="000C6875">
            <w:pPr>
              <w:pStyle w:val="Beschriftung"/>
              <w:spacing w:after="0"/>
              <w:jc w:val="center"/>
              <w:rPr>
                <w:sz w:val="20"/>
              </w:rPr>
            </w:pPr>
            <w:r w:rsidRPr="009C5E28">
              <w:rPr>
                <w:sz w:val="20"/>
              </w:rPr>
              <w:t xml:space="preserve">P: </w:t>
            </w:r>
            <w:r>
              <w:rPr>
                <w:sz w:val="20"/>
              </w:rPr>
              <w:t>261-280-351+305+338</w:t>
            </w:r>
          </w:p>
        </w:tc>
      </w:tr>
      <w:tr w:rsidR="00B72098" w:rsidRPr="009C5E28" w:rsidTr="000C6875">
        <w:trPr>
          <w:trHeight w:val="434"/>
        </w:trPr>
        <w:tc>
          <w:tcPr>
            <w:tcW w:w="3027" w:type="dxa"/>
            <w:gridSpan w:val="3"/>
            <w:shd w:val="clear" w:color="auto" w:fill="auto"/>
            <w:vAlign w:val="center"/>
          </w:tcPr>
          <w:p w:rsidR="00B72098" w:rsidRDefault="00B72098" w:rsidP="000C6875">
            <w:pPr>
              <w:spacing w:after="0" w:line="276" w:lineRule="auto"/>
              <w:jc w:val="center"/>
              <w:rPr>
                <w:color w:val="auto"/>
                <w:sz w:val="20"/>
                <w:szCs w:val="20"/>
              </w:rPr>
            </w:pPr>
            <w:r>
              <w:rPr>
                <w:color w:val="auto"/>
                <w:sz w:val="20"/>
                <w:szCs w:val="20"/>
              </w:rPr>
              <w:t>Universalindikator</w:t>
            </w:r>
          </w:p>
        </w:tc>
        <w:tc>
          <w:tcPr>
            <w:tcW w:w="3177" w:type="dxa"/>
            <w:gridSpan w:val="3"/>
            <w:shd w:val="clear" w:color="auto" w:fill="auto"/>
            <w:vAlign w:val="center"/>
          </w:tcPr>
          <w:p w:rsidR="00B72098" w:rsidRDefault="00B72098" w:rsidP="000C6875">
            <w:pPr>
              <w:pStyle w:val="Beschriftung"/>
              <w:spacing w:after="0"/>
              <w:jc w:val="center"/>
              <w:rPr>
                <w:sz w:val="20"/>
              </w:rPr>
            </w:pPr>
            <w:r>
              <w:rPr>
                <w:sz w:val="20"/>
              </w:rPr>
              <w:t>H: 225</w:t>
            </w:r>
          </w:p>
        </w:tc>
        <w:tc>
          <w:tcPr>
            <w:tcW w:w="3118" w:type="dxa"/>
            <w:gridSpan w:val="3"/>
            <w:shd w:val="clear" w:color="auto" w:fill="auto"/>
            <w:vAlign w:val="center"/>
          </w:tcPr>
          <w:p w:rsidR="00B72098" w:rsidRPr="009C5E28" w:rsidRDefault="00B72098" w:rsidP="000C6875">
            <w:pPr>
              <w:pStyle w:val="Beschriftung"/>
              <w:spacing w:after="0"/>
              <w:jc w:val="center"/>
              <w:rPr>
                <w:sz w:val="20"/>
              </w:rPr>
            </w:pPr>
            <w:r>
              <w:rPr>
                <w:sz w:val="20"/>
              </w:rPr>
              <w:t>P: 210-233-370+378a-403+235</w:t>
            </w:r>
          </w:p>
        </w:tc>
      </w:tr>
      <w:tr w:rsidR="00B72098" w:rsidRPr="009C5E28" w:rsidTr="000C6875">
        <w:tc>
          <w:tcPr>
            <w:tcW w:w="1009" w:type="dxa"/>
            <w:shd w:val="clear" w:color="auto" w:fill="auto"/>
            <w:vAlign w:val="center"/>
          </w:tcPr>
          <w:p w:rsidR="00B72098" w:rsidRPr="009C5E28" w:rsidRDefault="00B72098" w:rsidP="000C6875">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3555" cy="503555"/>
                  <wp:effectExtent l="19050" t="0" r="0" b="0"/>
                  <wp:docPr id="8" name="Grafik 7"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7"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B72098" w:rsidRPr="009C5E28" w:rsidRDefault="00B72098" w:rsidP="000C6875">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72098" w:rsidRDefault="00B72098" w:rsidP="00B72098">
      <w:pPr>
        <w:tabs>
          <w:tab w:val="left" w:pos="1701"/>
          <w:tab w:val="left" w:pos="1985"/>
        </w:tabs>
        <w:ind w:left="1980" w:hanging="1980"/>
      </w:pPr>
    </w:p>
    <w:p w:rsidR="00B72098" w:rsidRPr="00584E07" w:rsidRDefault="00B72098" w:rsidP="00B72098">
      <w:pPr>
        <w:pStyle w:val="berschrift2"/>
      </w:pPr>
      <w:r>
        <w:t xml:space="preserve"> </w:t>
      </w:r>
      <w:bookmarkStart w:id="2" w:name="_Toc427052428"/>
      <w:r w:rsidRPr="00584E07">
        <w:t>Kalkbrennen</w:t>
      </w:r>
      <w:bookmarkEnd w:id="2"/>
    </w:p>
    <w:p w:rsidR="00B72098" w:rsidRDefault="00B72098" w:rsidP="00B72098">
      <w:pPr>
        <w:tabs>
          <w:tab w:val="left" w:pos="1701"/>
          <w:tab w:val="left" w:pos="1985"/>
        </w:tabs>
        <w:ind w:left="1980" w:hanging="1980"/>
      </w:pPr>
      <w:r>
        <w:t xml:space="preserve">Materialien: </w:t>
      </w:r>
      <w:r>
        <w:tab/>
      </w:r>
      <w:r>
        <w:tab/>
        <w:t xml:space="preserve">Becherglas,  Reagenzglas, durchbohrter Stopfen mit Gasableitungsrohr, Gasbrenner, Waage, Spatel, 2 Stativständer, Stativklemmen </w:t>
      </w:r>
    </w:p>
    <w:p w:rsidR="00B72098" w:rsidRPr="00ED07C2" w:rsidRDefault="00B72098" w:rsidP="00B72098">
      <w:pPr>
        <w:tabs>
          <w:tab w:val="left" w:pos="1701"/>
          <w:tab w:val="left" w:pos="1985"/>
        </w:tabs>
        <w:ind w:left="1980" w:hanging="1980"/>
      </w:pPr>
      <w:r>
        <w:t>Chemikalien:</w:t>
      </w:r>
      <w:r>
        <w:tab/>
      </w:r>
      <w:r>
        <w:tab/>
      </w:r>
      <w:proofErr w:type="spellStart"/>
      <w:r>
        <w:t>Calciumcarbonat</w:t>
      </w:r>
      <w:proofErr w:type="spellEnd"/>
      <w:r>
        <w:t xml:space="preserve">, </w:t>
      </w:r>
      <w:proofErr w:type="spellStart"/>
      <w:r>
        <w:t>Calciumhydroxid</w:t>
      </w:r>
      <w:proofErr w:type="spellEnd"/>
    </w:p>
    <w:p w:rsidR="00B72098" w:rsidRDefault="00B72098" w:rsidP="00B72098">
      <w:pPr>
        <w:tabs>
          <w:tab w:val="left" w:pos="1701"/>
          <w:tab w:val="left" w:pos="1985"/>
        </w:tabs>
        <w:ind w:left="1980" w:hanging="1980"/>
      </w:pPr>
      <w:r>
        <w:t xml:space="preserve">Durchführung: </w:t>
      </w:r>
      <w:r>
        <w:tab/>
      </w:r>
      <w:r>
        <w:tab/>
      </w:r>
      <w:r>
        <w:tab/>
        <w:t xml:space="preserve">Ein </w:t>
      </w:r>
      <w:proofErr w:type="spellStart"/>
      <w:r>
        <w:t>Spatellöffel</w:t>
      </w:r>
      <w:proofErr w:type="spellEnd"/>
      <w:r>
        <w:t xml:space="preserve"> </w:t>
      </w:r>
      <w:proofErr w:type="spellStart"/>
      <w:r>
        <w:t>Calciumcarbonat</w:t>
      </w:r>
      <w:proofErr w:type="spellEnd"/>
      <w:r>
        <w:t xml:space="preserve"> wird in ein Reagenzglas gegeben. Das Reagenzglas wird schräg an einem Stativ befestigt und der Stopfen mit Gasa</w:t>
      </w:r>
      <w:r>
        <w:t>b</w:t>
      </w:r>
      <w:r>
        <w:t>leitungsrohr aufgesetzt. In einem Becherglas werden 10 </w:t>
      </w:r>
      <w:proofErr w:type="spellStart"/>
      <w:r>
        <w:t>mL</w:t>
      </w:r>
      <w:proofErr w:type="spellEnd"/>
      <w:r>
        <w:t xml:space="preserve"> Kalkwasser vorgelegt. Das Gasableitungsrohr sollte in das Kalkwasser eintauchen. Nun wird das </w:t>
      </w:r>
      <w:proofErr w:type="spellStart"/>
      <w:r>
        <w:t>Calciumcarbonat</w:t>
      </w:r>
      <w:proofErr w:type="spellEnd"/>
      <w:r>
        <w:t xml:space="preserve"> mit rauschender Brennerflamme erhitzt. </w:t>
      </w:r>
    </w:p>
    <w:p w:rsidR="00B72098" w:rsidRDefault="00B72098" w:rsidP="00B72098">
      <w:pPr>
        <w:tabs>
          <w:tab w:val="left" w:pos="1701"/>
          <w:tab w:val="left" w:pos="1985"/>
        </w:tabs>
        <w:ind w:left="1980" w:hanging="1980"/>
      </w:pPr>
      <w:r>
        <w:lastRenderedPageBreak/>
        <w:t xml:space="preserve">Beobachtung: </w:t>
      </w:r>
      <w:r>
        <w:tab/>
      </w:r>
      <w:r>
        <w:tab/>
        <w:t>Es entsteht ein Gas. Das Kalkwasser trübt ein. Der Feststoff bleibt weiß.</w:t>
      </w:r>
    </w:p>
    <w:p w:rsidR="00B72098" w:rsidRDefault="00B72098" w:rsidP="00B72098">
      <w:pPr>
        <w:keepNext/>
        <w:tabs>
          <w:tab w:val="left" w:pos="1701"/>
          <w:tab w:val="left" w:pos="1985"/>
        </w:tabs>
        <w:ind w:left="1980" w:hanging="1980"/>
        <w:jc w:val="center"/>
      </w:pPr>
      <w:r>
        <w:rPr>
          <w:noProof/>
          <w:lang w:eastAsia="de-DE"/>
        </w:rPr>
        <w:drawing>
          <wp:inline distT="0" distB="0" distL="0" distR="0">
            <wp:extent cx="3842057" cy="3191774"/>
            <wp:effectExtent l="19050" t="0" r="6043" b="0"/>
            <wp:docPr id="6" name="Grafik 5" descr="path44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4442-3.png"/>
                    <pic:cNvPicPr/>
                  </pic:nvPicPr>
                  <pic:blipFill>
                    <a:blip r:embed="rId14" cstate="print"/>
                    <a:stretch>
                      <a:fillRect/>
                    </a:stretch>
                  </pic:blipFill>
                  <pic:spPr>
                    <a:xfrm>
                      <a:off x="0" y="0"/>
                      <a:ext cx="3845082" cy="3194287"/>
                    </a:xfrm>
                    <a:prstGeom prst="rect">
                      <a:avLst/>
                    </a:prstGeom>
                  </pic:spPr>
                </pic:pic>
              </a:graphicData>
            </a:graphic>
          </wp:inline>
        </w:drawing>
      </w:r>
    </w:p>
    <w:p w:rsidR="00B72098" w:rsidRDefault="00B72098" w:rsidP="00B72098">
      <w:pPr>
        <w:pStyle w:val="Beschriftung"/>
        <w:ind w:left="1985"/>
        <w:jc w:val="left"/>
      </w:pPr>
      <w:r>
        <w:t xml:space="preserve">Abb. </w:t>
      </w:r>
      <w:fldSimple w:instr=" SEQ Abb. \* ARABIC ">
        <w:r>
          <w:rPr>
            <w:noProof/>
          </w:rPr>
          <w:t>1</w:t>
        </w:r>
      </w:fldSimple>
      <w:r>
        <w:t xml:space="preserve"> - </w:t>
      </w:r>
      <w:r>
        <w:rPr>
          <w:noProof/>
        </w:rPr>
        <w:t xml:space="preserve"> Erhitzen von Calciumcarbonat und Kohlenstoffdioxidnachweis mit Kalkwasser.</w:t>
      </w:r>
    </w:p>
    <w:p w:rsidR="00B72098" w:rsidRDefault="00B72098" w:rsidP="00B72098">
      <w:pPr>
        <w:tabs>
          <w:tab w:val="left" w:pos="1701"/>
          <w:tab w:val="left" w:pos="1985"/>
        </w:tabs>
        <w:ind w:left="2124" w:hanging="2124"/>
      </w:pPr>
      <w:r>
        <w:t>Deutung:</w:t>
      </w:r>
      <w:r>
        <w:tab/>
      </w:r>
      <w:r>
        <w:tab/>
      </w:r>
      <w:r>
        <w:tab/>
        <w:t xml:space="preserve">Durch Erhitzen von </w:t>
      </w:r>
      <w:proofErr w:type="spellStart"/>
      <w:r>
        <w:t>Calciumcarbonat</w:t>
      </w:r>
      <w:proofErr w:type="spellEnd"/>
      <w:r>
        <w:t xml:space="preserve"> wird Kohlenstoffdioxid freigesetzt. Dieser wird mithilfe der </w:t>
      </w:r>
      <w:proofErr w:type="spellStart"/>
      <w:r>
        <w:t>Calciumhydroxidlösung</w:t>
      </w:r>
      <w:proofErr w:type="spellEnd"/>
      <w:r>
        <w:t xml:space="preserve"> nachgewiesen. Der we</w:t>
      </w:r>
      <w:r>
        <w:t>i</w:t>
      </w:r>
      <w:r>
        <w:t xml:space="preserve">ße Niederschlag im Becherglas ist </w:t>
      </w:r>
      <w:proofErr w:type="spellStart"/>
      <w:r>
        <w:t>Calciumcarbonat</w:t>
      </w:r>
      <w:proofErr w:type="spellEnd"/>
      <w:r>
        <w:t>:</w:t>
      </w:r>
    </w:p>
    <w:p w:rsidR="00B72098" w:rsidRDefault="00B72098" w:rsidP="00B72098">
      <w:pPr>
        <w:tabs>
          <w:tab w:val="left" w:pos="1701"/>
          <w:tab w:val="left" w:pos="1985"/>
        </w:tabs>
        <w:ind w:left="2124" w:hanging="2124"/>
      </w:pPr>
      <m:oMathPara>
        <m:oMath>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+ 2</m:t>
          </m:r>
          <m:sSubSup>
            <m:sSubSupPr>
              <m:ctrlPr>
                <w:rPr>
                  <w:rFonts w:ascii="Cambria Math" w:hAnsi="Cambria Math"/>
                  <w:i/>
                </w:rPr>
              </m:ctrlPr>
            </m:sSubSupPr>
            <m:e>
              <m:r>
                <w:rPr>
                  <w:rFonts w:ascii="Cambria Math" w:hAnsi="Cambria Math"/>
                </w:rPr>
                <m:t xml:space="preserve"> OH</m:t>
              </m:r>
            </m:e>
            <m:sub>
              <m:r>
                <w:rPr>
                  <w:rFonts w:ascii="Cambria Math" w:hAnsi="Cambria Math"/>
                </w:rPr>
                <m:t>(aq)</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d>
                <m:dPr>
                  <m:ctrlPr>
                    <w:rPr>
                      <w:rFonts w:ascii="Cambria Math" w:hAnsi="Cambria Math"/>
                      <w:i/>
                    </w:rPr>
                  </m:ctrlPr>
                </m:dPr>
                <m:e>
                  <m:r>
                    <w:rPr>
                      <w:rFonts w:ascii="Cambria Math" w:hAnsi="Cambria Math"/>
                    </w:rPr>
                    <m:t>g</m:t>
                  </m:r>
                </m:e>
              </m:d>
            </m:sub>
          </m:sSub>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m:t>
              </m:r>
              <m:d>
                <m:dPr>
                  <m:ctrlPr>
                    <w:rPr>
                      <w:rFonts w:ascii="Cambria Math" w:hAnsi="Cambria Math"/>
                      <w:i/>
                    </w:rPr>
                  </m:ctrlPr>
                </m:dPr>
                <m:e>
                  <m:r>
                    <w:rPr>
                      <w:rFonts w:ascii="Cambria Math" w:hAnsi="Cambria Math"/>
                    </w:rPr>
                    <m:t>s</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oMath>
      </m:oMathPara>
    </w:p>
    <w:p w:rsidR="00B72098" w:rsidRDefault="00B72098" w:rsidP="00B72098">
      <w:pPr>
        <w:tabs>
          <w:tab w:val="left" w:pos="1701"/>
          <w:tab w:val="left" w:pos="1985"/>
        </w:tabs>
        <w:ind w:left="2124" w:hanging="2124"/>
      </w:pPr>
    </w:p>
    <w:p w:rsidR="00B72098" w:rsidRPr="00074A34" w:rsidRDefault="00B72098" w:rsidP="00B72098">
      <w:pPr>
        <w:tabs>
          <w:tab w:val="left" w:pos="1701"/>
          <w:tab w:val="left" w:pos="1985"/>
        </w:tabs>
        <w:ind w:left="2124" w:firstLine="3"/>
      </w:pPr>
      <w:r>
        <w:t xml:space="preserve">Im Reagenzglas  entsteht nach dem Erhitzen </w:t>
      </w:r>
      <w:proofErr w:type="spellStart"/>
      <w:r>
        <w:t>Calciumoxid</w:t>
      </w:r>
      <w:proofErr w:type="spellEnd"/>
      <w:r>
        <w:t xml:space="preserve">, sogenannter „Branntkalk“. </w:t>
      </w:r>
    </w:p>
    <w:p w:rsidR="00B72098" w:rsidRDefault="00B72098" w:rsidP="00B72098">
      <w:pPr>
        <w:tabs>
          <w:tab w:val="left" w:pos="1701"/>
          <w:tab w:val="left" w:pos="1985"/>
        </w:tabs>
        <w:ind w:left="1980" w:hanging="1980"/>
        <w:rPr>
          <w:rFonts w:eastAsiaTheme="minorEastAsia"/>
        </w:rPr>
      </w:pPr>
      <m:oMathPara>
        <m:oMath>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 xml:space="preserve">3 (s) </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r>
            <w:rPr>
              <w:rFonts w:ascii="Cambria Math" w:hAnsi="Cambria Math"/>
            </w:rPr>
            <m:t xml:space="preserve"> Ca</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 (g)</m:t>
              </m:r>
            </m:sub>
          </m:sSub>
        </m:oMath>
      </m:oMathPara>
    </w:p>
    <w:p w:rsidR="00B72098" w:rsidRDefault="00B72098" w:rsidP="00B72098">
      <w:pPr>
        <w:spacing w:line="276" w:lineRule="auto"/>
        <w:ind w:left="2127" w:hanging="2127"/>
        <w:jc w:val="left"/>
      </w:pPr>
      <w:r>
        <w:t>Entsorgung:</w:t>
      </w:r>
      <w:r>
        <w:tab/>
        <w:t xml:space="preserve">Das </w:t>
      </w:r>
      <w:proofErr w:type="spellStart"/>
      <w:r>
        <w:t>Calciumoxid</w:t>
      </w:r>
      <w:proofErr w:type="spellEnd"/>
      <w:r>
        <w:t xml:space="preserve"> wird in 3.2 weiterverwendet. Das Kalkwasser wird ne</w:t>
      </w:r>
      <w:r>
        <w:t>u</w:t>
      </w:r>
      <w:r>
        <w:t>tralisiert und im Abfluss entsorgt</w:t>
      </w:r>
    </w:p>
    <w:p w:rsidR="00B72098" w:rsidRDefault="00B72098" w:rsidP="00B72098">
      <w:pPr>
        <w:spacing w:line="276" w:lineRule="auto"/>
        <w:ind w:left="2127" w:hanging="2127"/>
        <w:jc w:val="left"/>
      </w:pPr>
      <w:r>
        <w:t xml:space="preserve">. </w:t>
      </w:r>
    </w:p>
    <w:p w:rsidR="00B72098" w:rsidRDefault="00B72098" w:rsidP="00B72098">
      <w:pPr>
        <w:pStyle w:val="berschrift2"/>
      </w:pPr>
      <w:bookmarkStart w:id="3" w:name="_Toc427052429"/>
      <w:r w:rsidRPr="00584E07">
        <w:t>Kalk</w:t>
      </w:r>
      <w:r>
        <w:t>löschen</w:t>
      </w:r>
      <w:bookmarkEnd w:id="3"/>
    </w:p>
    <w:p w:rsidR="00B72098" w:rsidRDefault="00B72098" w:rsidP="00B72098">
      <w:pPr>
        <w:tabs>
          <w:tab w:val="left" w:pos="1701"/>
          <w:tab w:val="left" w:pos="1985"/>
        </w:tabs>
        <w:ind w:left="1980" w:hanging="1980"/>
      </w:pPr>
      <w:r>
        <w:t xml:space="preserve">Materialien: </w:t>
      </w:r>
      <w:r>
        <w:tab/>
      </w:r>
      <w:r>
        <w:tab/>
        <w:t>2 Bechergläser (100 </w:t>
      </w:r>
      <w:proofErr w:type="spellStart"/>
      <w:r>
        <w:t>mL</w:t>
      </w:r>
      <w:proofErr w:type="spellEnd"/>
      <w:r>
        <w:t xml:space="preserve">), Spatel, Indikatorpapier </w:t>
      </w:r>
    </w:p>
    <w:p w:rsidR="00B72098" w:rsidRPr="00ED07C2" w:rsidRDefault="00B72098" w:rsidP="00B72098">
      <w:pPr>
        <w:tabs>
          <w:tab w:val="left" w:pos="1701"/>
          <w:tab w:val="left" w:pos="1985"/>
        </w:tabs>
        <w:ind w:left="1980" w:hanging="1980"/>
      </w:pPr>
      <w:r>
        <w:t>Chemikalien:</w:t>
      </w:r>
      <w:r>
        <w:tab/>
      </w:r>
      <w:r>
        <w:tab/>
      </w:r>
      <w:proofErr w:type="spellStart"/>
      <w:r>
        <w:t>Calciumcarbonat</w:t>
      </w:r>
      <w:proofErr w:type="spellEnd"/>
      <w:r>
        <w:t xml:space="preserve">, </w:t>
      </w:r>
      <w:proofErr w:type="spellStart"/>
      <w:r>
        <w:t>Calciumoxid</w:t>
      </w:r>
      <w:proofErr w:type="spellEnd"/>
    </w:p>
    <w:p w:rsidR="00B72098" w:rsidRDefault="00B72098" w:rsidP="00B72098">
      <w:pPr>
        <w:tabs>
          <w:tab w:val="left" w:pos="1701"/>
          <w:tab w:val="left" w:pos="1985"/>
        </w:tabs>
        <w:ind w:left="1980" w:hanging="1980"/>
      </w:pPr>
      <w:r>
        <w:lastRenderedPageBreak/>
        <w:t xml:space="preserve">Durchführung: </w:t>
      </w:r>
      <w:r>
        <w:tab/>
      </w:r>
      <w:r>
        <w:tab/>
      </w:r>
      <w:r w:rsidRPr="008A712C">
        <w:tab/>
        <w:t>Das aus dem ersten Teilversuch erhaltene Produkt wird in einem Beche</w:t>
      </w:r>
      <w:r w:rsidRPr="008A712C">
        <w:t>r</w:t>
      </w:r>
      <w:r w:rsidRPr="008A712C">
        <w:t xml:space="preserve">glas zunächst mit einigen Tropfen destilliertem Wasser verrührt. Dann werden nach und nach </w:t>
      </w:r>
      <w:r>
        <w:t>bis zu 20 ml Wasser hinzugefügt. D</w:t>
      </w:r>
      <w:r w:rsidRPr="008A712C">
        <w:t xml:space="preserve">er pH-Wert </w:t>
      </w:r>
      <w:r>
        <w:t xml:space="preserve">der Lösung wird mit Universalindikatorpapier bestimmt. Es wird ebenso der pH-Wert einer </w:t>
      </w:r>
      <w:proofErr w:type="spellStart"/>
      <w:r>
        <w:t>Calciumcarbonatlösung</w:t>
      </w:r>
      <w:proofErr w:type="spellEnd"/>
      <w:r>
        <w:t xml:space="preserve"> mittels Universalindikatorpapier bestimmt. </w:t>
      </w:r>
    </w:p>
    <w:p w:rsidR="00B72098" w:rsidRDefault="00B72098" w:rsidP="00B72098">
      <w:pPr>
        <w:tabs>
          <w:tab w:val="left" w:pos="1701"/>
          <w:tab w:val="left" w:pos="1985"/>
        </w:tabs>
        <w:ind w:left="1980" w:hanging="1980"/>
      </w:pPr>
      <w:r>
        <w:t>Beobachtung:</w:t>
      </w:r>
      <w:r>
        <w:tab/>
      </w:r>
      <w:r>
        <w:tab/>
      </w:r>
      <w:r>
        <w:tab/>
        <w:t xml:space="preserve">Es findet eine starke Wärmeentwicklung statt, die Temperatur steigt an. Außerdem reagiert die Lösung stark alkalisch. Das Indikatorpapier färbt sich dunkelgrün (pH 12). Der pH-Wert ist höher als bei der </w:t>
      </w:r>
      <w:proofErr w:type="spellStart"/>
      <w:r>
        <w:t>Calciumcarbonatlösung</w:t>
      </w:r>
      <w:proofErr w:type="spellEnd"/>
      <w:r>
        <w:t xml:space="preserve">, bei welcher das Indikatorpapier gelb verfärbt ist (pH 8). </w:t>
      </w:r>
    </w:p>
    <w:p w:rsidR="00B72098" w:rsidRDefault="00B72098" w:rsidP="00B72098">
      <w:pPr>
        <w:keepNext/>
        <w:tabs>
          <w:tab w:val="left" w:pos="1701"/>
          <w:tab w:val="left" w:pos="1985"/>
        </w:tabs>
        <w:ind w:left="1980" w:hanging="1980"/>
        <w:jc w:val="center"/>
      </w:pPr>
      <w:r>
        <w:rPr>
          <w:noProof/>
          <w:lang w:eastAsia="de-DE"/>
        </w:rPr>
        <w:drawing>
          <wp:inline distT="0" distB="0" distL="0" distR="0">
            <wp:extent cx="3247821" cy="2165214"/>
            <wp:effectExtent l="19050" t="0" r="0" b="0"/>
            <wp:docPr id="1" name="Grafik 0" descr="IMG_8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59.JPG"/>
                    <pic:cNvPicPr/>
                  </pic:nvPicPr>
                  <pic:blipFill>
                    <a:blip r:embed="rId15" cstate="print"/>
                    <a:stretch>
                      <a:fillRect/>
                    </a:stretch>
                  </pic:blipFill>
                  <pic:spPr>
                    <a:xfrm>
                      <a:off x="0" y="0"/>
                      <a:ext cx="3249298" cy="2166198"/>
                    </a:xfrm>
                    <a:prstGeom prst="rect">
                      <a:avLst/>
                    </a:prstGeom>
                  </pic:spPr>
                </pic:pic>
              </a:graphicData>
            </a:graphic>
          </wp:inline>
        </w:drawing>
      </w:r>
    </w:p>
    <w:p w:rsidR="00B72098" w:rsidRDefault="00B72098" w:rsidP="00B72098">
      <w:pPr>
        <w:pStyle w:val="Beschriftung"/>
        <w:ind w:left="2694" w:hanging="709"/>
        <w:jc w:val="left"/>
      </w:pPr>
      <w:r>
        <w:t xml:space="preserve">Abb. 2 - </w:t>
      </w:r>
      <w:r>
        <w:rPr>
          <w:noProof/>
        </w:rPr>
        <w:t xml:space="preserve"> Links: Destilliertes Wasser mit Calciumcarbonat (pH=8). Rechts: Destilliertes Wasser mit Calciumoxid (pH=12). </w:t>
      </w:r>
    </w:p>
    <w:p w:rsidR="00B72098" w:rsidRDefault="00B72098" w:rsidP="00B72098">
      <w:pPr>
        <w:tabs>
          <w:tab w:val="left" w:pos="1701"/>
          <w:tab w:val="left" w:pos="1985"/>
        </w:tabs>
        <w:ind w:left="1985" w:hanging="1985"/>
      </w:pPr>
      <w:r>
        <w:t>Deutung:</w:t>
      </w:r>
      <w:r>
        <w:tab/>
      </w:r>
      <w:r>
        <w:tab/>
        <w:t xml:space="preserve">Die Reaktion ist stark exotherm. Es entsteht </w:t>
      </w:r>
      <w:proofErr w:type="spellStart"/>
      <w:r>
        <w:t>Calciumhydroxid</w:t>
      </w:r>
      <w:proofErr w:type="spellEnd"/>
      <w:r>
        <w:t xml:space="preserve">, welches basisch reagiert. </w:t>
      </w:r>
      <w:r>
        <w:tab/>
      </w:r>
      <w:r>
        <w:tab/>
      </w:r>
    </w:p>
    <w:p w:rsidR="00B72098" w:rsidRDefault="00B72098" w:rsidP="00B72098">
      <w:pPr>
        <w:tabs>
          <w:tab w:val="left" w:pos="1701"/>
          <w:tab w:val="left" w:pos="1985"/>
        </w:tabs>
        <w:ind w:left="1980" w:hanging="1980"/>
        <w:rPr>
          <w:rFonts w:eastAsiaTheme="minorEastAsia"/>
        </w:rPr>
      </w:pPr>
      <m:oMathPara>
        <m:oMath>
          <m:r>
            <w:rPr>
              <w:rFonts w:ascii="Cambria Math" w:hAnsi="Cambria Math"/>
            </w:rPr>
            <m:t>Ca</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r>
            <w:rPr>
              <w:rFonts w:ascii="Cambria Math" w:hAnsi="Cambria Math"/>
            </w:rPr>
            <m:t xml:space="preserve"> Ca</m:t>
          </m:r>
          <m:sSub>
            <m:sSubPr>
              <m:ctrlPr>
                <w:rPr>
                  <w:rFonts w:ascii="Cambria Math" w:hAnsi="Cambria Math"/>
                  <w:i/>
                </w:rPr>
              </m:ctrlPr>
            </m:sSubPr>
            <m:e>
              <m:r>
                <w:rPr>
                  <w:rFonts w:ascii="Cambria Math" w:hAnsi="Cambria Math"/>
                </w:rPr>
                <m:t>(OH)</m:t>
              </m:r>
            </m:e>
            <m:sub>
              <m:r>
                <w:rPr>
                  <w:rFonts w:ascii="Cambria Math" w:hAnsi="Cambria Math"/>
                </w:rPr>
                <m:t>2(aq)</m:t>
              </m:r>
            </m:sub>
          </m:sSub>
        </m:oMath>
      </m:oMathPara>
    </w:p>
    <w:p w:rsidR="00B72098" w:rsidRDefault="00B72098" w:rsidP="00B72098">
      <w:pPr>
        <w:spacing w:line="276" w:lineRule="auto"/>
        <w:jc w:val="left"/>
      </w:pPr>
      <w:r>
        <w:t>Entsorgung:</w:t>
      </w:r>
      <w:r>
        <w:tab/>
        <w:t xml:space="preserve">           </w:t>
      </w:r>
      <w:r>
        <w:tab/>
        <w:t xml:space="preserve">Das Reaktionsprodukt wird in 3.3 weiterverwendet. </w:t>
      </w:r>
    </w:p>
    <w:p w:rsidR="00B72098" w:rsidRDefault="00B72098" w:rsidP="00B72098">
      <w:pPr>
        <w:pStyle w:val="berschrift2"/>
      </w:pPr>
      <w:bookmarkStart w:id="4" w:name="_Toc427052430"/>
      <w:r>
        <w:t>Abbinden von Löschkalk</w:t>
      </w:r>
      <w:bookmarkEnd w:id="4"/>
    </w:p>
    <w:p w:rsidR="00B72098" w:rsidRDefault="00B72098" w:rsidP="00B72098">
      <w:pPr>
        <w:ind w:left="1985" w:hanging="1985"/>
      </w:pPr>
      <w:r>
        <w:t xml:space="preserve">Durchführung: </w:t>
      </w:r>
      <w:r>
        <w:tab/>
        <w:t xml:space="preserve">Die in 3.2 erhaltene </w:t>
      </w:r>
      <w:proofErr w:type="spellStart"/>
      <w:r>
        <w:t>Calciumhydroxidlösung</w:t>
      </w:r>
      <w:proofErr w:type="spellEnd"/>
      <w:r>
        <w:t xml:space="preserve"> wird filtriert und in einem Verhältnis von 1:1 mit Sand vermischt und anschließend so viel Wasser hinzugegeben, dass ein zähflüssiges Gemisch entsteht. Es könnten nun Tonscherben oder Ähnliches mit dem Kalkmörtel verbunden werden und diese zum Trocknen stehen gelassen werden. </w:t>
      </w:r>
    </w:p>
    <w:p w:rsidR="00B72098" w:rsidRDefault="00B72098" w:rsidP="00B72098">
      <w:r>
        <w:t xml:space="preserve">Beobachtung: </w:t>
      </w:r>
      <w:r>
        <w:tab/>
        <w:t xml:space="preserve">             Es entsteht eine grau-weiße Masse. </w:t>
      </w:r>
    </w:p>
    <w:p w:rsidR="00B72098" w:rsidRDefault="00B72098" w:rsidP="00B72098">
      <w:pPr>
        <w:ind w:left="1985" w:hanging="1985"/>
      </w:pPr>
      <w:r>
        <w:lastRenderedPageBreak/>
        <w:t xml:space="preserve">Deutung: </w:t>
      </w:r>
      <w:r>
        <w:tab/>
        <w:t xml:space="preserve">Das </w:t>
      </w:r>
      <w:proofErr w:type="spellStart"/>
      <w:r>
        <w:t>Calciumhydroxid</w:t>
      </w:r>
      <w:proofErr w:type="spellEnd"/>
      <w:r>
        <w:t xml:space="preserve"> reagiert mit Kohlenstoffdioxid aus der Luft wieder zu </w:t>
      </w:r>
      <w:proofErr w:type="spellStart"/>
      <w:r>
        <w:t>Calciumcarbonat</w:t>
      </w:r>
      <w:proofErr w:type="spellEnd"/>
      <w:r>
        <w:t>. Der Kalkkreislauf ist somit geschlossen.</w:t>
      </w:r>
    </w:p>
    <w:p w:rsidR="00B72098" w:rsidRDefault="00B72098" w:rsidP="00B72098">
      <w:pPr>
        <w:tabs>
          <w:tab w:val="left" w:pos="1701"/>
          <w:tab w:val="left" w:pos="1985"/>
        </w:tabs>
        <w:ind w:left="1418" w:hanging="1418"/>
      </w:pPr>
      <m:oMathPara>
        <m:oMath>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+ 2</m:t>
          </m:r>
          <m:sSubSup>
            <m:sSubSupPr>
              <m:ctrlPr>
                <w:rPr>
                  <w:rFonts w:ascii="Cambria Math" w:hAnsi="Cambria Math"/>
                  <w:i/>
                </w:rPr>
              </m:ctrlPr>
            </m:sSubSupPr>
            <m:e>
              <m:r>
                <w:rPr>
                  <w:rFonts w:ascii="Cambria Math" w:hAnsi="Cambria Math"/>
                </w:rPr>
                <m:t xml:space="preserve"> OH</m:t>
              </m:r>
            </m:e>
            <m:sub>
              <m:r>
                <w:rPr>
                  <w:rFonts w:ascii="Cambria Math" w:hAnsi="Cambria Math"/>
                </w:rPr>
                <m:t>(aq)</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d>
                <m:dPr>
                  <m:ctrlPr>
                    <w:rPr>
                      <w:rFonts w:ascii="Cambria Math" w:hAnsi="Cambria Math"/>
                      <w:i/>
                    </w:rPr>
                  </m:ctrlPr>
                </m:dPr>
                <m:e>
                  <m:r>
                    <w:rPr>
                      <w:rFonts w:ascii="Cambria Math" w:hAnsi="Cambria Math"/>
                    </w:rPr>
                    <m:t>g</m:t>
                  </m:r>
                </m:e>
              </m:d>
            </m:sub>
          </m:sSub>
          <m:r>
            <w:rPr>
              <w:rFonts w:ascii="Cambria Math" w:hAnsi="Cambria Math"/>
            </w:rPr>
            <m:t>→Ca</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d>
                <m:dPr>
                  <m:ctrlPr>
                    <w:rPr>
                      <w:rFonts w:ascii="Cambria Math" w:hAnsi="Cambria Math"/>
                      <w:i/>
                    </w:rPr>
                  </m:ctrlPr>
                </m:dPr>
                <m:e>
                  <m:r>
                    <w:rPr>
                      <w:rFonts w:ascii="Cambria Math" w:hAnsi="Cambria Math"/>
                    </w:rPr>
                    <m:t>s</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oMath>
      </m:oMathPara>
    </w:p>
    <w:p w:rsidR="00B72098" w:rsidRPr="0028146C" w:rsidRDefault="00B72098" w:rsidP="00B72098">
      <w:pPr>
        <w:ind w:left="1985" w:hanging="1985"/>
        <w:jc w:val="left"/>
        <w:rPr>
          <w:color w:val="auto"/>
        </w:rPr>
      </w:pPr>
      <w:r>
        <w:t>Literatur:</w:t>
      </w:r>
      <w:r>
        <w:tab/>
        <w:t xml:space="preserve">Blume R. (30.01.2012): </w:t>
      </w:r>
      <w:r w:rsidRPr="00D53833">
        <w:t>http://www.chemieunterricht.de/dc2/haus/v142.htm</w:t>
      </w:r>
      <w:r>
        <w:t xml:space="preserve">  (Zuletzt aufgerufen am 07.08.2015 um 15:26). </w:t>
      </w:r>
    </w:p>
    <w:p w:rsidR="00B72098" w:rsidRDefault="00B72098" w:rsidP="00B72098">
      <w:pPr>
        <w:tabs>
          <w:tab w:val="left" w:pos="1701"/>
          <w:tab w:val="left" w:pos="1985"/>
        </w:tabs>
      </w:pPr>
      <w:r w:rsidRPr="007D6B92">
        <w:rPr>
          <w:noProof/>
          <w:lang w:val="en-US"/>
        </w:rPr>
      </w:r>
      <w:r w:rsidRPr="007D6B92">
        <w:rPr>
          <w:noProof/>
          <w:lang w:val="en-US"/>
        </w:rPr>
        <w:pict>
          <v:shape id="Text Box 144" o:spid="_x0000_s1026" type="#_x0000_t202" style="width:434.9pt;height:279.6pt;visibility:visible;mso-position-horizontal-relative:char;mso-position-vertical-relative:line" fillcolor="white [3201]" strokecolor="#c0504d [3205]" strokeweight="1pt">
            <v:stroke dashstyle="dash"/>
            <v:shadow color="#868686"/>
            <v:textbox style="mso-next-textbox:#Text Box 144">
              <w:txbxContent>
                <w:p w:rsidR="00B72098" w:rsidRDefault="00B72098" w:rsidP="00B72098">
                  <w:pPr>
                    <w:rPr>
                      <w:color w:val="auto"/>
                    </w:rPr>
                  </w:pPr>
                  <w:r>
                    <w:rPr>
                      <w:color w:val="auto"/>
                    </w:rPr>
                    <w:t xml:space="preserve">Der Versuch eignet sich um den </w:t>
                  </w:r>
                  <w:proofErr w:type="spellStart"/>
                  <w:r>
                    <w:rPr>
                      <w:color w:val="auto"/>
                    </w:rPr>
                    <w:t>Basenbegriff</w:t>
                  </w:r>
                  <w:proofErr w:type="spellEnd"/>
                  <w:r>
                    <w:rPr>
                      <w:color w:val="auto"/>
                    </w:rPr>
                    <w:t xml:space="preserve"> nach Arrhenius einzusetzen, nach welchem Basen in Wasser </w:t>
                  </w:r>
                  <w:proofErr w:type="spellStart"/>
                  <w:r>
                    <w:rPr>
                      <w:color w:val="auto"/>
                    </w:rPr>
                    <w:t>Hydroxidionen</w:t>
                  </w:r>
                  <w:proofErr w:type="spellEnd"/>
                  <w:r>
                    <w:rPr>
                      <w:color w:val="auto"/>
                    </w:rPr>
                    <w:t xml:space="preserve"> generieren. Zusätzlich können die unterschiedlichen </w:t>
                  </w:r>
                  <w:proofErr w:type="spellStart"/>
                  <w:r>
                    <w:rPr>
                      <w:color w:val="auto"/>
                    </w:rPr>
                    <w:t>Basenstärken</w:t>
                  </w:r>
                  <w:proofErr w:type="spellEnd"/>
                  <w:r>
                    <w:rPr>
                      <w:color w:val="auto"/>
                    </w:rPr>
                    <w:t xml:space="preserve"> von </w:t>
                  </w:r>
                  <w:proofErr w:type="spellStart"/>
                  <w:r>
                    <w:rPr>
                      <w:color w:val="auto"/>
                    </w:rPr>
                    <w:t>Calciumoxid</w:t>
                  </w:r>
                  <w:proofErr w:type="spellEnd"/>
                  <w:r>
                    <w:rPr>
                      <w:color w:val="auto"/>
                    </w:rPr>
                    <w:t xml:space="preserve"> und </w:t>
                  </w:r>
                  <w:proofErr w:type="spellStart"/>
                  <w:r>
                    <w:rPr>
                      <w:color w:val="auto"/>
                    </w:rPr>
                    <w:t>Calciumcarbonat</w:t>
                  </w:r>
                  <w:proofErr w:type="spellEnd"/>
                  <w:r>
                    <w:rPr>
                      <w:color w:val="auto"/>
                    </w:rPr>
                    <w:t xml:space="preserve"> thematisiert werden. </w:t>
                  </w:r>
                  <w:proofErr w:type="spellStart"/>
                  <w:r>
                    <w:rPr>
                      <w:color w:val="auto"/>
                    </w:rPr>
                    <w:t>Calciumoxid</w:t>
                  </w:r>
                  <w:proofErr w:type="spellEnd"/>
                  <w:r>
                    <w:rPr>
                      <w:color w:val="auto"/>
                    </w:rPr>
                    <w:t xml:space="preserve"> reagiert in Wasser stark alkalisch, was anhand des pH-Wert-Vergleichs mit </w:t>
                  </w:r>
                  <w:proofErr w:type="spellStart"/>
                  <w:r>
                    <w:rPr>
                      <w:color w:val="auto"/>
                    </w:rPr>
                    <w:t>Calciumcarbonat</w:t>
                  </w:r>
                  <w:proofErr w:type="spellEnd"/>
                  <w:r>
                    <w:rPr>
                      <w:color w:val="auto"/>
                    </w:rPr>
                    <w:t xml:space="preserve"> gezeigt werden kann. Zum anderen stellt er einen geschlossenen industriellen Kreisprozess dar. Anschließend könnte der Kalkstein als Edukt für die Z</w:t>
                  </w:r>
                  <w:r>
                    <w:rPr>
                      <w:color w:val="auto"/>
                    </w:rPr>
                    <w:t>e</w:t>
                  </w:r>
                  <w:r>
                    <w:rPr>
                      <w:color w:val="auto"/>
                    </w:rPr>
                    <w:t xml:space="preserve">mentherstellung betrachtet werden. Bei der Zementherstellung wird circa drei Mal so viel Kohlenstoffdioxid freigesetzt, wie durch den jährlichen Flugverkehr. Zement könnte ebenfalls mit den </w:t>
                  </w:r>
                  <w:proofErr w:type="spellStart"/>
                  <w:r>
                    <w:rPr>
                      <w:color w:val="auto"/>
                    </w:rPr>
                    <w:t>SuS</w:t>
                  </w:r>
                  <w:proofErr w:type="spellEnd"/>
                  <w:r>
                    <w:rPr>
                      <w:color w:val="auto"/>
                    </w:rPr>
                    <w:t xml:space="preserve"> hergestellt werden. Anschließend kann auf die Problematik der Kohlenstoffdioxidemission eingegangen werden, indem der Ozean als Kohlenstoffdioxi</w:t>
                  </w:r>
                  <w:r>
                    <w:rPr>
                      <w:color w:val="auto"/>
                    </w:rPr>
                    <w:t>d</w:t>
                  </w:r>
                  <w:r>
                    <w:rPr>
                      <w:color w:val="auto"/>
                    </w:rPr>
                    <w:t>senke und die damit verbundenen Problematiken, wie die Ozeanversauerung und das Auflösen von Korallenriffen aufgezeigt werden (siehe hierzu Versuche V2 und V3 im Kurzprotokoll und nachfolgender Schülerversuch). Der Säure-Base-Begriff nach Arrh</w:t>
                  </w:r>
                  <w:r>
                    <w:rPr>
                      <w:color w:val="auto"/>
                    </w:rPr>
                    <w:t>e</w:t>
                  </w:r>
                  <w:r>
                    <w:rPr>
                      <w:color w:val="auto"/>
                    </w:rPr>
                    <w:t>nius sollte bekannt sein.</w:t>
                  </w:r>
                </w:p>
                <w:p w:rsidR="00B72098" w:rsidRPr="00F31EBF" w:rsidRDefault="00B72098" w:rsidP="00B72098">
                  <w:pPr>
                    <w:rPr>
                      <w:color w:val="auto"/>
                    </w:rPr>
                  </w:pPr>
                </w:p>
              </w:txbxContent>
            </v:textbox>
            <w10:wrap type="none"/>
            <w10:anchorlock/>
          </v:shape>
        </w:pict>
      </w:r>
    </w:p>
    <w:p w:rsidR="002D0FD0" w:rsidRDefault="002D0FD0"/>
    <w:sectPr w:rsidR="002D0FD0" w:rsidSect="002D0F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FDF6892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72098"/>
    <w:rsid w:val="00016331"/>
    <w:rsid w:val="00022321"/>
    <w:rsid w:val="0007412D"/>
    <w:rsid w:val="002D0FD0"/>
    <w:rsid w:val="004965DA"/>
    <w:rsid w:val="004A0535"/>
    <w:rsid w:val="00794D39"/>
    <w:rsid w:val="0087773D"/>
    <w:rsid w:val="009D3E5B"/>
    <w:rsid w:val="00B72098"/>
    <w:rsid w:val="00F130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09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7209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7209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7209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720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720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720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720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720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720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09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7209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7209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7209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7209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7209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7209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7209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7209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7209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B720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09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3086</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2015-08-26T12:45:00Z</dcterms:created>
  <dcterms:modified xsi:type="dcterms:W3CDTF">2015-08-26T12:45:00Z</dcterms:modified>
</cp:coreProperties>
</file>