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1" w:rsidRDefault="00766901" w:rsidP="00766901">
      <w:pPr>
        <w:pStyle w:val="berschrift2"/>
        <w:numPr>
          <w:ilvl w:val="0"/>
          <w:numId w:val="0"/>
        </w:numPr>
      </w:pPr>
      <w:bookmarkStart w:id="0" w:name="_Toc427054645"/>
      <w:r>
        <w:t>Löslichkeit von Kohlenstoffdioxid in Wasser</w:t>
      </w:r>
      <w:bookmarkEnd w:id="0"/>
    </w:p>
    <w:p w:rsidR="00766901" w:rsidRDefault="00766901" w:rsidP="0076690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Brausetablette, abgeschnittener Messzylinder (weniger Gas kann entw</w:t>
      </w:r>
      <w:r>
        <w:t>i</w:t>
      </w:r>
      <w:r>
        <w:t>chen), Glaswanne</w:t>
      </w:r>
    </w:p>
    <w:p w:rsidR="00766901" w:rsidRPr="00ED07C2" w:rsidRDefault="00766901" w:rsidP="0076690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766901" w:rsidRDefault="00766901" w:rsidP="0076690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Der Messzylinder und die Glaswanne werden mit Leitungswasser </w:t>
      </w:r>
      <w:proofErr w:type="spellStart"/>
      <w:r>
        <w:t>befüllt</w:t>
      </w:r>
      <w:proofErr w:type="spellEnd"/>
      <w:r>
        <w:t xml:space="preserve"> und der Messzylinder umgekehrt in die Glaswanne gestellt. Eine Brauseta</w:t>
      </w:r>
      <w:r>
        <w:t>b</w:t>
      </w:r>
      <w:r>
        <w:t xml:space="preserve">lette wird rasch unter die Öffnung des Messzylinders geschoben, sodass das entstehende Gas aufgefangen wird. Der Versuch wird drei Mal, einmal mit Wasser bei ca. 4 °C, bei 25 °C und bei 50 °C.  </w:t>
      </w:r>
    </w:p>
    <w:p w:rsidR="00766901" w:rsidRDefault="00766901" w:rsidP="00766901">
      <w:pPr>
        <w:tabs>
          <w:tab w:val="left" w:pos="1701"/>
          <w:tab w:val="left" w:pos="1985"/>
        </w:tabs>
        <w:ind w:left="1980" w:hanging="1980"/>
        <w:jc w:val="center"/>
      </w:pPr>
      <w:r w:rsidRPr="00C6190E">
        <w:rPr>
          <w:noProof/>
          <w:lang w:eastAsia="de-DE"/>
        </w:rPr>
        <w:drawing>
          <wp:inline distT="0" distB="0" distL="0" distR="0">
            <wp:extent cx="2828925" cy="2260600"/>
            <wp:effectExtent l="0" t="381000" r="0" b="387350"/>
            <wp:docPr id="19" name="Grafik 33" descr="IMG_8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1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5750" cy="2260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6901" w:rsidRDefault="00766901" w:rsidP="00766901">
      <w:pPr>
        <w:pStyle w:val="Beschriftung"/>
        <w:ind w:firstLine="2694"/>
        <w:jc w:val="left"/>
      </w:pPr>
      <w:r>
        <w:t xml:space="preserve">Abb. 3 - </w:t>
      </w:r>
      <w:r>
        <w:rPr>
          <w:noProof/>
        </w:rPr>
        <w:t xml:space="preserve"> Löslichkeit von Kohlenstoffdioxid.</w:t>
      </w:r>
    </w:p>
    <w:p w:rsidR="00766901" w:rsidRDefault="00766901" w:rsidP="00766901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In wärmerem Wasser löst sich weniger Kohlenstoffdioxid als in kaltem Wasser. </w:t>
      </w:r>
    </w:p>
    <w:p w:rsidR="00766901" w:rsidRDefault="00766901" w:rsidP="00766901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Lösung kann in den Abfluss gegeben werden.  </w:t>
      </w:r>
    </w:p>
    <w:p w:rsidR="00766901" w:rsidRPr="005B60E3" w:rsidRDefault="00766901" w:rsidP="00766901">
      <w:pPr>
        <w:ind w:left="2127" w:hanging="2127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>Heusinger K./</w:t>
      </w:r>
      <w:proofErr w:type="spellStart"/>
      <w:r>
        <w:t>Hößle</w:t>
      </w:r>
      <w:proofErr w:type="spellEnd"/>
      <w:r>
        <w:t xml:space="preserve"> C./Höhn T.: </w:t>
      </w:r>
      <w:r w:rsidRPr="00D233FC">
        <w:t>http://www.energieportal.uni-oldenburg.de/unterrichtsmaterial/181</w:t>
      </w:r>
      <w:r>
        <w:t xml:space="preserve"> [Zuletzt abgerufen am 10.08.2015 um 16:54]. </w:t>
      </w:r>
    </w:p>
    <w:p w:rsidR="00766901" w:rsidRDefault="00766901" w:rsidP="00766901"/>
    <w:p w:rsidR="00766901" w:rsidRPr="00944E2C" w:rsidRDefault="00766901" w:rsidP="00766901"/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6901"/>
    <w:rsid w:val="00022321"/>
    <w:rsid w:val="0007412D"/>
    <w:rsid w:val="002D0FD0"/>
    <w:rsid w:val="004965DA"/>
    <w:rsid w:val="004A0535"/>
    <w:rsid w:val="00766901"/>
    <w:rsid w:val="0087773D"/>
    <w:rsid w:val="009D3E5B"/>
    <w:rsid w:val="00F1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90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690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690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6690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69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69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69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69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69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69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690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690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690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69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69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69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69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69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6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66901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90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2015-08-26T12:50:00Z</dcterms:created>
  <dcterms:modified xsi:type="dcterms:W3CDTF">2015-08-26T12:50:00Z</dcterms:modified>
</cp:coreProperties>
</file>