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39" w:rsidRPr="00CC307A" w:rsidRDefault="00187E39" w:rsidP="00187E39">
      <w:pPr>
        <w:pStyle w:val="berschrift2"/>
        <w:numPr>
          <w:ilvl w:val="0"/>
          <w:numId w:val="0"/>
        </w:numPr>
        <w:ind w:left="576" w:hanging="576"/>
        <w:rPr>
          <w:color w:val="auto"/>
        </w:rPr>
      </w:pPr>
      <w:r w:rsidRPr="00B349C3">
        <w:rPr>
          <w:noProof/>
          <w:lang w:eastAsia="de-DE"/>
        </w:rPr>
        <w:pict>
          <v:shapetype id="_x0000_t202" coordsize="21600,21600" o:spt="202" path="m,l,21600r21600,l21600,xe">
            <v:stroke joinstyle="miter"/>
            <v:path gradientshapeok="t" o:connecttype="rect"/>
          </v:shapetype>
          <v:shape id="Text Box 134" o:spid="_x0000_s1029" type="#_x0000_t202" style="position:absolute;left:0;text-align:left;margin-left:-.05pt;margin-top:31.45pt;width:462.45pt;height:60.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" fillcolor="white [3201]" strokecolor="#4bacc6 [3208]" strokeweight="1pt">
            <v:stroke dashstyle="dash"/>
            <v:shadow color="#868686"/>
            <v:textbox>
              <w:txbxContent>
                <w:p w:rsidR="00187E39" w:rsidRPr="00F31EBF" w:rsidRDefault="00187E39" w:rsidP="00187E39">
                  <w:pPr>
                    <w:rPr>
                      <w:color w:val="auto"/>
                    </w:rPr>
                  </w:pPr>
                  <w:r>
                    <w:rPr>
                      <w:color w:val="auto"/>
                    </w:rPr>
                    <w:t xml:space="preserve">Dieser Versuch thematisiert den </w:t>
                  </w:r>
                  <w:proofErr w:type="spellStart"/>
                  <w:r>
                    <w:rPr>
                      <w:color w:val="auto"/>
                    </w:rPr>
                    <w:t>Quenching</w:t>
                  </w:r>
                  <w:proofErr w:type="spellEnd"/>
                  <w:r>
                    <w:rPr>
                      <w:color w:val="auto"/>
                    </w:rPr>
                    <w:t>-Effekt, der als Konkurrenzreaktion zur Fluore</w:t>
                  </w:r>
                  <w:r>
                    <w:rPr>
                      <w:color w:val="auto"/>
                    </w:rPr>
                    <w:t>s</w:t>
                  </w:r>
                  <w:r>
                    <w:rPr>
                      <w:color w:val="auto"/>
                    </w:rPr>
                    <w:t>zenz gesehen werden kann. Die SuS sollten wissen, wie Moleküle Energie aufnehmen können und wie Fluoreszenz entsteht. Weiterhin bietet es sich an V1 vor V2 durchzuführen.</w:t>
                  </w:r>
                </w:p>
              </w:txbxContent>
            </v:textbox>
            <w10:wrap type="square"/>
          </v:shape>
        </w:pict>
      </w:r>
      <w:bookmarkStart w:id="0" w:name="_Toc457844147"/>
      <w:r w:rsidRPr="00CC307A">
        <w:rPr>
          <w:color w:val="auto"/>
        </w:rPr>
        <w:t>V</w:t>
      </w:r>
      <w:r>
        <w:rPr>
          <w:color w:val="auto"/>
        </w:rPr>
        <w:t>2</w:t>
      </w:r>
      <w:r w:rsidRPr="00CC307A">
        <w:rPr>
          <w:color w:val="auto"/>
        </w:rPr>
        <w:t xml:space="preserve"> – </w:t>
      </w:r>
      <w:proofErr w:type="spellStart"/>
      <w:r>
        <w:rPr>
          <w:color w:val="auto"/>
        </w:rPr>
        <w:t>Quenching</w:t>
      </w:r>
      <w:proofErr w:type="spellEnd"/>
      <w:r>
        <w:rPr>
          <w:color w:val="auto"/>
        </w:rPr>
        <w:t>-Effekt</w:t>
      </w:r>
      <w:bookmarkEnd w:id="0"/>
    </w:p>
    <w:p w:rsidR="00187E39" w:rsidRDefault="00187E39" w:rsidP="00187E39">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87E39" w:rsidRPr="009C5E28" w:rsidTr="00676A16">
        <w:tc>
          <w:tcPr>
            <w:tcW w:w="9322" w:type="dxa"/>
            <w:gridSpan w:val="9"/>
            <w:shd w:val="clear" w:color="auto" w:fill="4F81BD"/>
            <w:vAlign w:val="center"/>
          </w:tcPr>
          <w:p w:rsidR="00187E39" w:rsidRPr="00F31EBF" w:rsidRDefault="00187E39" w:rsidP="00676A16">
            <w:pPr>
              <w:spacing w:after="0"/>
              <w:jc w:val="center"/>
              <w:rPr>
                <w:b/>
                <w:bCs/>
                <w:color w:val="FFFFFF" w:themeColor="background1"/>
              </w:rPr>
            </w:pPr>
            <w:r w:rsidRPr="00F31EBF">
              <w:rPr>
                <w:b/>
                <w:bCs/>
                <w:color w:val="FFFFFF" w:themeColor="background1"/>
              </w:rPr>
              <w:t>Gefahrenstoffe</w:t>
            </w:r>
          </w:p>
        </w:tc>
      </w:tr>
      <w:tr w:rsidR="00187E39" w:rsidRPr="009C5E28" w:rsidTr="00676A1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87E39" w:rsidRPr="00D564E4" w:rsidRDefault="00187E39" w:rsidP="00676A16">
            <w:pPr>
              <w:spacing w:after="0" w:line="276" w:lineRule="auto"/>
              <w:jc w:val="center"/>
              <w:rPr>
                <w:bCs/>
              </w:rPr>
            </w:pPr>
            <w:r w:rsidRPr="00D564E4">
              <w:rPr>
                <w:bCs/>
              </w:rPr>
              <w:t>Iod</w:t>
            </w:r>
          </w:p>
        </w:tc>
        <w:tc>
          <w:tcPr>
            <w:tcW w:w="3177" w:type="dxa"/>
            <w:gridSpan w:val="3"/>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sidRPr="009C5E28">
              <w:rPr>
                <w:sz w:val="20"/>
              </w:rPr>
              <w:t xml:space="preserve">H: </w:t>
            </w:r>
            <w:r>
              <w:t>312+332, 315, 319, 335, 372,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7E39" w:rsidRPr="009C5E28" w:rsidRDefault="00187E39" w:rsidP="00676A16">
            <w:pPr>
              <w:spacing w:after="0"/>
              <w:jc w:val="center"/>
            </w:pPr>
            <w:r w:rsidRPr="009C5E28">
              <w:rPr>
                <w:sz w:val="20"/>
              </w:rPr>
              <w:t xml:space="preserve">P: </w:t>
            </w:r>
            <w:r>
              <w:t>273, 302+352, 305+351+338+314</w:t>
            </w:r>
          </w:p>
        </w:tc>
      </w:tr>
      <w:tr w:rsidR="00187E39" w:rsidRPr="009C5E28" w:rsidTr="00676A16">
        <w:tc>
          <w:tcPr>
            <w:tcW w:w="1009" w:type="dxa"/>
            <w:tcBorders>
              <w:top w:val="single" w:sz="8" w:space="0" w:color="4F81BD"/>
              <w:left w:val="single" w:sz="8" w:space="0" w:color="4F81BD"/>
              <w:bottom w:val="single" w:sz="8" w:space="0" w:color="4F81BD"/>
            </w:tcBorders>
            <w:shd w:val="clear" w:color="auto" w:fill="auto"/>
            <w:vAlign w:val="center"/>
          </w:tcPr>
          <w:p w:rsidR="00187E39" w:rsidRPr="009C5E28" w:rsidRDefault="00187E39" w:rsidP="00676A16">
            <w:pPr>
              <w:spacing w:after="0"/>
              <w:jc w:val="center"/>
              <w:rPr>
                <w:b/>
                <w:bCs/>
              </w:rPr>
            </w:pPr>
            <w:r>
              <w:rPr>
                <w:b/>
                <w:noProof/>
                <w:lang w:eastAsia="de-DE"/>
              </w:rPr>
              <w:drawing>
                <wp:inline distT="0" distB="0" distL="0" distR="0">
                  <wp:extent cx="504190" cy="50419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04190" cy="504190"/>
                  <wp:effectExtent l="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04190" cy="504190"/>
                  <wp:effectExtent l="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04190" cy="50419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7E39" w:rsidRPr="009C5E28" w:rsidRDefault="00187E39" w:rsidP="00676A16">
            <w:pPr>
              <w:spacing w:after="0"/>
              <w:jc w:val="center"/>
            </w:pPr>
            <w:r>
              <w:rPr>
                <w:noProof/>
                <w:lang w:eastAsia="de-DE"/>
              </w:rPr>
              <w:drawing>
                <wp:inline distT="0" distB="0" distL="0" distR="0">
                  <wp:extent cx="511175" cy="511175"/>
                  <wp:effectExtent l="0" t="0" r="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7E39" w:rsidRPr="009C5E28" w:rsidRDefault="00187E39" w:rsidP="00676A16">
            <w:pPr>
              <w:spacing w:after="0"/>
              <w:jc w:val="center"/>
            </w:pPr>
            <w:r w:rsidRPr="00D564E4">
              <w:rPr>
                <w:noProof/>
                <w:lang w:eastAsia="de-DE"/>
              </w:rPr>
              <w:drawing>
                <wp:inline distT="0" distB="0" distL="0" distR="0">
                  <wp:extent cx="586596" cy="559439"/>
                  <wp:effectExtent l="0" t="0" r="4445" b="0"/>
                  <wp:docPr id="13"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41051" t="37286" r="41101" b="41437"/>
                          <a:stretch/>
                        </pic:blipFill>
                        <pic:spPr bwMode="auto">
                          <a:xfrm>
                            <a:off x="0" y="0"/>
                            <a:ext cx="586596" cy="55943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187E39" w:rsidRDefault="00187E39" w:rsidP="00187E39">
      <w:pPr>
        <w:tabs>
          <w:tab w:val="left" w:pos="1701"/>
          <w:tab w:val="left" w:pos="1985"/>
        </w:tabs>
        <w:ind w:left="1980" w:hanging="1980"/>
      </w:pPr>
    </w:p>
    <w:p w:rsidR="00187E39" w:rsidRDefault="00187E39" w:rsidP="00187E39">
      <w:pPr>
        <w:tabs>
          <w:tab w:val="left" w:pos="1701"/>
          <w:tab w:val="left" w:pos="1985"/>
        </w:tabs>
        <w:ind w:left="1980" w:hanging="1980"/>
      </w:pPr>
      <w:r>
        <w:t xml:space="preserve">Materialien: </w:t>
      </w:r>
      <w:r>
        <w:tab/>
      </w:r>
      <w:r>
        <w:tab/>
        <w:t>Rundkolben</w:t>
      </w:r>
    </w:p>
    <w:p w:rsidR="00187E39" w:rsidRPr="00ED07C2" w:rsidRDefault="00187E39" w:rsidP="00187E39">
      <w:pPr>
        <w:tabs>
          <w:tab w:val="left" w:pos="1701"/>
          <w:tab w:val="left" w:pos="1985"/>
        </w:tabs>
        <w:ind w:left="1980" w:hanging="1980"/>
      </w:pPr>
      <w:r>
        <w:t>Chemikalien:</w:t>
      </w:r>
      <w:r>
        <w:tab/>
      </w:r>
      <w:r>
        <w:tab/>
        <w:t>Iod</w:t>
      </w:r>
    </w:p>
    <w:p w:rsidR="00187E39" w:rsidRDefault="00187E39" w:rsidP="00187E39">
      <w:pPr>
        <w:tabs>
          <w:tab w:val="left" w:pos="1701"/>
          <w:tab w:val="left" w:pos="1985"/>
        </w:tabs>
        <w:ind w:left="1980" w:hanging="1980"/>
      </w:pPr>
      <w:r>
        <w:t xml:space="preserve">Durchführung: </w:t>
      </w:r>
      <w:r>
        <w:tab/>
      </w:r>
      <w:r>
        <w:tab/>
      </w:r>
      <w:r>
        <w:tab/>
        <w:t>Einige Körner Iod werden in einen Rundkolben gefüllt. Der Rundkolben wird an eine Wasserstrahlpumpe (alternativ ans Hausvakuum, falls vo</w:t>
      </w:r>
      <w:r>
        <w:t>r</w:t>
      </w:r>
      <w:r>
        <w:t xml:space="preserve">handen) angeschlossen und der Kolben wird </w:t>
      </w:r>
      <w:proofErr w:type="spellStart"/>
      <w:r>
        <w:t>vakuumiert</w:t>
      </w:r>
      <w:proofErr w:type="spellEnd"/>
      <w:r>
        <w:t xml:space="preserve">. Anschließend wird der Kolben mit den Handflächen erwärmt, sodass Iod in die Gasphase übergeht. In einer Dunkelkammer wird anschließend ein grüner </w:t>
      </w:r>
      <w:proofErr w:type="spellStart"/>
      <w:r>
        <w:t>Laserpointer</w:t>
      </w:r>
      <w:proofErr w:type="spellEnd"/>
      <w:r>
        <w:t xml:space="preserve"> durch den Kolben gerichtet. Anschließend wird das Vakuum entfernt, indem Luft in den Kolben gelassen wird. Danach wird erneut mit einem </w:t>
      </w:r>
      <w:proofErr w:type="spellStart"/>
      <w:r>
        <w:t>Laserpointer</w:t>
      </w:r>
      <w:proofErr w:type="spellEnd"/>
      <w:r>
        <w:t xml:space="preserve"> bestrahlt.</w:t>
      </w:r>
    </w:p>
    <w:p w:rsidR="00187E39" w:rsidRDefault="00187E39" w:rsidP="00187E39">
      <w:pPr>
        <w:tabs>
          <w:tab w:val="left" w:pos="1701"/>
          <w:tab w:val="left" w:pos="1985"/>
        </w:tabs>
        <w:ind w:left="1980" w:hanging="1980"/>
      </w:pPr>
      <w:r>
        <w:t>Beobachtung:</w:t>
      </w:r>
      <w:r>
        <w:tab/>
      </w:r>
      <w:r>
        <w:tab/>
      </w:r>
      <w:r>
        <w:tab/>
        <w:t xml:space="preserve">Der Strahl des </w:t>
      </w:r>
      <w:proofErr w:type="spellStart"/>
      <w:r>
        <w:t>Laserpointers</w:t>
      </w:r>
      <w:proofErr w:type="spellEnd"/>
      <w:r>
        <w:t xml:space="preserve"> ist vor und nach dem </w:t>
      </w:r>
      <w:proofErr w:type="spellStart"/>
      <w:r>
        <w:t>vakuumierten</w:t>
      </w:r>
      <w:proofErr w:type="spellEnd"/>
      <w:r>
        <w:t xml:space="preserve"> Kolben grünlich, lediglich im Kolben ist der Strahl der </w:t>
      </w:r>
      <w:proofErr w:type="spellStart"/>
      <w:r>
        <w:t>Laserpointer</w:t>
      </w:r>
      <w:proofErr w:type="spellEnd"/>
      <w:r>
        <w:t xml:space="preserve"> orangefarben. Nach der Belüftung des Kolbens lässt sich keine Fluoreszenz mehr wah</w:t>
      </w:r>
      <w:r>
        <w:t>r</w:t>
      </w:r>
      <w:r>
        <w:t>nehmen.</w:t>
      </w:r>
    </w:p>
    <w:p w:rsidR="00187E39" w:rsidRDefault="00187E39" w:rsidP="00187E39">
      <w:pPr>
        <w:keepNext/>
        <w:tabs>
          <w:tab w:val="left" w:pos="1701"/>
          <w:tab w:val="left" w:pos="1985"/>
        </w:tabs>
        <w:ind w:left="1980" w:hanging="1980"/>
        <w:jc w:val="center"/>
      </w:pPr>
      <w:r w:rsidRPr="00CF653B">
        <w:rPr>
          <w:noProof/>
          <w:lang w:eastAsia="de-DE"/>
        </w:rPr>
        <w:lastRenderedPageBreak/>
        <w:drawing>
          <wp:inline distT="0" distB="0" distL="0" distR="0">
            <wp:extent cx="3193277" cy="2703444"/>
            <wp:effectExtent l="19050" t="0" r="7123" b="0"/>
            <wp:docPr id="12" name="Bild 3" descr="C:\Users\User\Desktop\Laser induzierte Fluoreszenz von Iod - 9-10\13872609_10206696906561584_1207866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aser induzierte Fluoreszenz von Iod - 9-10\13872609_10206696906561584_1207866228_n.jpg"/>
                    <pic:cNvPicPr>
                      <a:picLocks noChangeAspect="1" noChangeArrowheads="1"/>
                    </pic:cNvPicPr>
                  </pic:nvPicPr>
                  <pic:blipFill>
                    <a:blip r:embed="rId14" cstate="print"/>
                    <a:srcRect l="24529" t="42510" r="13347" b="27933"/>
                    <a:stretch>
                      <a:fillRect/>
                    </a:stretch>
                  </pic:blipFill>
                  <pic:spPr bwMode="auto">
                    <a:xfrm>
                      <a:off x="0" y="0"/>
                      <a:ext cx="3193277" cy="2703444"/>
                    </a:xfrm>
                    <a:prstGeom prst="rect">
                      <a:avLst/>
                    </a:prstGeom>
                    <a:noFill/>
                    <a:ln w="9525">
                      <a:noFill/>
                      <a:miter lim="800000"/>
                      <a:headEnd/>
                      <a:tailEnd/>
                    </a:ln>
                  </pic:spPr>
                </pic:pic>
              </a:graphicData>
            </a:graphic>
          </wp:inline>
        </w:drawing>
      </w:r>
    </w:p>
    <w:p w:rsidR="00187E39" w:rsidRDefault="00187E39" w:rsidP="00187E39">
      <w:pPr>
        <w:pStyle w:val="Beschriftung"/>
        <w:jc w:val="center"/>
      </w:pPr>
      <w:r>
        <w:t xml:space="preserve">Abb. </w:t>
      </w:r>
      <w:r>
        <w:fldChar w:fldCharType="begin"/>
      </w:r>
      <w:r>
        <w:instrText xml:space="preserve"> SEQ Abb. \* ARABIC </w:instrText>
      </w:r>
      <w:r>
        <w:fldChar w:fldCharType="separate"/>
      </w:r>
      <w:r>
        <w:rPr>
          <w:noProof/>
        </w:rPr>
        <w:t>2</w:t>
      </w:r>
      <w:r>
        <w:rPr>
          <w:noProof/>
        </w:rPr>
        <w:fldChar w:fldCharType="end"/>
      </w:r>
      <w:r>
        <w:t xml:space="preserve"> - </w:t>
      </w:r>
      <w:r>
        <w:rPr>
          <w:noProof/>
        </w:rPr>
        <w:t xml:space="preserve"> Laser induzierte Fluoreszenz von Iod.</w:t>
      </w:r>
    </w:p>
    <w:p w:rsidR="00187E39" w:rsidRDefault="00187E39" w:rsidP="00187E39">
      <w:pPr>
        <w:tabs>
          <w:tab w:val="left" w:pos="1701"/>
          <w:tab w:val="left" w:pos="1985"/>
        </w:tabs>
        <w:ind w:left="2124" w:hanging="2124"/>
      </w:pPr>
      <w:r>
        <w:t>Deutung:</w:t>
      </w:r>
      <w:r>
        <w:tab/>
      </w:r>
      <w:r>
        <w:tab/>
      </w:r>
      <w:r>
        <w:tab/>
        <w:t xml:space="preserve">Durch den </w:t>
      </w:r>
      <w:proofErr w:type="spellStart"/>
      <w:r>
        <w:t>Laserpointer</w:t>
      </w:r>
      <w:proofErr w:type="spellEnd"/>
      <w:r>
        <w:t xml:space="preserve"> werden (einige) Iod-Moleküle angeregt. Diese Anregung erfolgt elektronisch, aber es findet auch eine Schwingungsa</w:t>
      </w:r>
      <w:r>
        <w:t>n</w:t>
      </w:r>
      <w:r>
        <w:t>regung statt. Wird diese Energie wieder abgegeben, erfolgt dies in diesem Fall unter Lichtemission. Da diese Emission nach Ausschalten des Lasers sofort abklingt, handelt es sich um eine Fluoreszenz. Das emittierte Licht (ca. 590 </w:t>
      </w:r>
      <w:proofErr w:type="spellStart"/>
      <w:r>
        <w:t>nm</w:t>
      </w:r>
      <w:proofErr w:type="spellEnd"/>
      <w:r>
        <w:t xml:space="preserve">) ist in Bezug auf das </w:t>
      </w:r>
      <w:proofErr w:type="spellStart"/>
      <w:r>
        <w:t>Anregungslicht</w:t>
      </w:r>
      <w:proofErr w:type="spellEnd"/>
      <w:r>
        <w:t xml:space="preserve"> (ca. 530 </w:t>
      </w:r>
      <w:proofErr w:type="spellStart"/>
      <w:r>
        <w:t>nm</w:t>
      </w:r>
      <w:proofErr w:type="spellEnd"/>
      <w:r>
        <w:t xml:space="preserve">) langwellig verschoben. Dieses Phänomen lässt sich auf eine strahlungslose Abregung der Schwingung des Moleküls zurückführen. </w:t>
      </w:r>
    </w:p>
    <w:p w:rsidR="00187E39" w:rsidRPr="00FA0764" w:rsidRDefault="00187E39" w:rsidP="00187E39">
      <w:pPr>
        <w:tabs>
          <w:tab w:val="left" w:pos="1701"/>
          <w:tab w:val="left" w:pos="1985"/>
        </w:tabs>
        <w:spacing w:after="0" w:line="240" w:lineRule="auto"/>
        <w:ind w:left="2126" w:hanging="2126"/>
        <w:rPr>
          <w:vertAlign w:val="subscript"/>
        </w:rPr>
      </w:pPr>
      <w:r>
        <w:tab/>
        <w:t xml:space="preserve">                                             </w:t>
      </w:r>
      <w:r w:rsidRPr="00FA0764">
        <w:rPr>
          <w:vertAlign w:val="subscript"/>
        </w:rPr>
        <w:t>Laser</w:t>
      </w:r>
    </w:p>
    <w:p w:rsidR="00187E39" w:rsidRDefault="00187E39" w:rsidP="00187E39">
      <w:pPr>
        <w:tabs>
          <w:tab w:val="left" w:pos="1701"/>
          <w:tab w:val="left" w:pos="1985"/>
        </w:tabs>
        <w:spacing w:after="0"/>
        <w:ind w:left="2126" w:hanging="2126"/>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Fluorophor ----------→ </w:t>
      </w:r>
      <w:r w:rsidRPr="00BF0F38">
        <w:rPr>
          <w:rFonts w:eastAsiaTheme="minorEastAsia"/>
        </w:rPr>
        <w:tab/>
        <w:t>Fluorophor</w:t>
      </w:r>
      <w:r>
        <w:rPr>
          <w:rFonts w:eastAsiaTheme="minorEastAsia"/>
        </w:rPr>
        <w:t>*</w:t>
      </w:r>
      <w:r w:rsidRPr="00BF0F38">
        <w:rPr>
          <w:rFonts w:eastAsiaTheme="minorEastAsia"/>
        </w:rPr>
        <w:t xml:space="preserve"> </w:t>
      </w:r>
    </w:p>
    <w:p w:rsidR="00187E39" w:rsidRDefault="00187E39" w:rsidP="00187E39">
      <w:pPr>
        <w:tabs>
          <w:tab w:val="left" w:pos="1701"/>
          <w:tab w:val="left" w:pos="1985"/>
        </w:tabs>
        <w:spacing w:after="0"/>
        <w:ind w:left="2126" w:hanging="2126"/>
      </w:pPr>
      <w:r>
        <w:rPr>
          <w:rFonts w:eastAsiaTheme="minorEastAsia"/>
        </w:rPr>
        <w:tab/>
      </w:r>
      <w:r>
        <w:rPr>
          <w:rFonts w:eastAsiaTheme="minorEastAsia"/>
        </w:rPr>
        <w:tab/>
      </w:r>
      <w:r>
        <w:rPr>
          <w:rFonts w:eastAsiaTheme="minorEastAsia"/>
        </w:rPr>
        <w:tab/>
      </w:r>
      <w:r>
        <w:rPr>
          <w:rFonts w:eastAsiaTheme="minorEastAsia"/>
        </w:rPr>
        <w:tab/>
      </w:r>
      <w:r w:rsidRPr="00BF0F38">
        <w:rPr>
          <w:rFonts w:eastAsiaTheme="minorEastAsia"/>
        </w:rPr>
        <w:t>Fluorophor</w:t>
      </w:r>
      <w:r>
        <w:rPr>
          <w:rFonts w:eastAsiaTheme="minorEastAsia"/>
        </w:rPr>
        <w:t>* → Fluorophor + Lichtemission</w:t>
      </w:r>
    </w:p>
    <w:p w:rsidR="00187E39" w:rsidRDefault="00187E39" w:rsidP="00187E39">
      <w:pPr>
        <w:tabs>
          <w:tab w:val="left" w:pos="1701"/>
          <w:tab w:val="left" w:pos="1985"/>
        </w:tabs>
        <w:ind w:left="2124" w:hanging="2124"/>
      </w:pPr>
    </w:p>
    <w:p w:rsidR="00187E39" w:rsidRDefault="00187E39" w:rsidP="00187E39">
      <w:pPr>
        <w:tabs>
          <w:tab w:val="left" w:pos="1701"/>
          <w:tab w:val="left" w:pos="1985"/>
        </w:tabs>
        <w:ind w:left="2124" w:hanging="2124"/>
      </w:pPr>
      <w:r>
        <w:tab/>
      </w:r>
      <w:r>
        <w:tab/>
      </w:r>
      <w:r>
        <w:tab/>
        <w:t>Nach Belüftung des Kolbens lässt sich keine Fluoreszenz mehr wahrne</w:t>
      </w:r>
      <w:r>
        <w:t>h</w:t>
      </w:r>
      <w:r>
        <w:t xml:space="preserve">men, weil die Bestandteile der Luft für einen </w:t>
      </w:r>
      <w:proofErr w:type="spellStart"/>
      <w:r>
        <w:t>Quenching</w:t>
      </w:r>
      <w:proofErr w:type="spellEnd"/>
      <w:r>
        <w:t>-Effekt sorgen. Dabei stößt vor allem der Sauerstoff mit dem angeregten Fluorophor z</w:t>
      </w:r>
      <w:r>
        <w:t>u</w:t>
      </w:r>
      <w:r>
        <w:t>sammen, sodass die Energie übertragen wird. Der Fluorophor wird so strahlungslos abgeregt.</w:t>
      </w:r>
    </w:p>
    <w:p w:rsidR="00187E39" w:rsidRPr="00BF0F38" w:rsidRDefault="00187E39" w:rsidP="00187E39">
      <w:pPr>
        <w:tabs>
          <w:tab w:val="left" w:pos="1701"/>
          <w:tab w:val="left" w:pos="1985"/>
        </w:tabs>
        <w:ind w:left="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Fluorophor* + Stoßpartner → </w:t>
      </w:r>
      <w:r w:rsidRPr="00BF0F38">
        <w:rPr>
          <w:rFonts w:eastAsiaTheme="minorEastAsia"/>
        </w:rPr>
        <w:tab/>
        <w:t>Fluorophor + Stoßpartner*</w:t>
      </w:r>
    </w:p>
    <w:p w:rsidR="00187E39" w:rsidRDefault="00187E39" w:rsidP="00187E39">
      <w:pPr>
        <w:spacing w:line="276" w:lineRule="auto"/>
        <w:jc w:val="left"/>
      </w:pPr>
      <w:r>
        <w:t>Entsorgung:</w:t>
      </w:r>
      <w:r>
        <w:tab/>
        <w:t xml:space="preserve">           </w:t>
      </w:r>
      <w:r>
        <w:tab/>
        <w:t xml:space="preserve">Das Iod wird mit </w:t>
      </w:r>
      <w:proofErr w:type="spellStart"/>
      <w:r>
        <w:t>Natriumthiosulfat</w:t>
      </w:r>
      <w:proofErr w:type="spellEnd"/>
      <w:r>
        <w:t xml:space="preserve">-Lösung neutralisiert und im Ausguss </w:t>
      </w:r>
      <w:r>
        <w:tab/>
      </w:r>
      <w:r>
        <w:tab/>
      </w:r>
      <w:r>
        <w:tab/>
        <w:t xml:space="preserve">entsorgt. </w:t>
      </w:r>
    </w:p>
    <w:p w:rsidR="00187E39" w:rsidRPr="0017004F" w:rsidRDefault="00187E39" w:rsidP="00187E39">
      <w:pPr>
        <w:spacing w:line="276" w:lineRule="auto"/>
        <w:jc w:val="left"/>
        <w:rPr>
          <w:rFonts w:asciiTheme="majorHAnsi" w:eastAsiaTheme="majorEastAsia" w:hAnsiTheme="majorHAnsi" w:cstheme="majorBidi"/>
          <w:b/>
          <w:bCs/>
          <w:sz w:val="28"/>
          <w:szCs w:val="28"/>
          <w:lang w:val="en-US"/>
        </w:rPr>
      </w:pPr>
      <w:proofErr w:type="spellStart"/>
      <w:r w:rsidRPr="0017004F">
        <w:rPr>
          <w:lang w:val="en-US"/>
        </w:rPr>
        <w:t>Literatur</w:t>
      </w:r>
      <w:proofErr w:type="spellEnd"/>
      <w:r w:rsidRPr="0017004F">
        <w:rPr>
          <w:lang w:val="en-US"/>
        </w:rPr>
        <w:t>:</w:t>
      </w:r>
      <w:r w:rsidRPr="0017004F">
        <w:rPr>
          <w:lang w:val="en-US"/>
        </w:rPr>
        <w:tab/>
      </w:r>
      <w:r w:rsidRPr="0017004F">
        <w:rPr>
          <w:lang w:val="en-US"/>
        </w:rPr>
        <w:tab/>
      </w:r>
    </w:p>
    <w:p w:rsidR="00187E39" w:rsidRPr="0017004F" w:rsidRDefault="00187E39" w:rsidP="00187E39">
      <w:pPr>
        <w:rPr>
          <w:rFonts w:asciiTheme="majorHAnsi" w:hAnsiTheme="majorHAnsi"/>
          <w:b/>
          <w:lang w:val="en-US"/>
        </w:rPr>
      </w:pPr>
      <w:r w:rsidRPr="0017004F">
        <w:rPr>
          <w:rFonts w:asciiTheme="majorHAnsi" w:hAnsiTheme="majorHAnsi"/>
          <w:lang w:val="en-US"/>
        </w:rPr>
        <w:lastRenderedPageBreak/>
        <w:t xml:space="preserve">[1] </w:t>
      </w:r>
      <w:proofErr w:type="spellStart"/>
      <w:r w:rsidRPr="0017004F">
        <w:rPr>
          <w:rFonts w:asciiTheme="majorHAnsi" w:hAnsiTheme="majorHAnsi"/>
          <w:lang w:val="en-US"/>
        </w:rPr>
        <w:t>Muenter</w:t>
      </w:r>
      <w:proofErr w:type="spellEnd"/>
      <w:r w:rsidRPr="0017004F">
        <w:rPr>
          <w:rFonts w:asciiTheme="majorHAnsi" w:hAnsiTheme="majorHAnsi"/>
          <w:lang w:val="en-US"/>
        </w:rPr>
        <w:t>, J. S., The Helium-neon laser-induced fluorescence spectrum of molecular iodine. An undergraduate laboratory experiment. J. Chem. Educ., 73(6):576-580, 1996.</w:t>
      </w:r>
    </w:p>
    <w:p w:rsidR="00187E39" w:rsidRDefault="00187E39" w:rsidP="00187E39">
      <w:pPr>
        <w:rPr>
          <w:rFonts w:asciiTheme="majorHAnsi" w:hAnsiTheme="majorHAnsi"/>
        </w:rPr>
      </w:pPr>
      <w:r w:rsidRPr="0017004F">
        <w:rPr>
          <w:rFonts w:asciiTheme="majorHAnsi" w:hAnsiTheme="majorHAnsi"/>
          <w:lang w:val="en-US"/>
        </w:rPr>
        <w:t xml:space="preserve">[2] </w:t>
      </w:r>
      <w:proofErr w:type="spellStart"/>
      <w:r w:rsidRPr="0017004F">
        <w:rPr>
          <w:rFonts w:asciiTheme="majorHAnsi" w:hAnsiTheme="majorHAnsi"/>
          <w:lang w:val="en-US"/>
        </w:rPr>
        <w:t>Tellinghuisen</w:t>
      </w:r>
      <w:proofErr w:type="spellEnd"/>
      <w:r w:rsidRPr="0017004F">
        <w:rPr>
          <w:rFonts w:asciiTheme="majorHAnsi" w:hAnsiTheme="majorHAnsi"/>
          <w:lang w:val="en-US"/>
        </w:rPr>
        <w:t xml:space="preserve">, J., Laser-induced molecular fluorescence. </w:t>
      </w:r>
      <w:r>
        <w:rPr>
          <w:rFonts w:asciiTheme="majorHAnsi" w:hAnsiTheme="majorHAnsi"/>
        </w:rPr>
        <w:t xml:space="preserve">J. Chem. </w:t>
      </w:r>
      <w:proofErr w:type="spellStart"/>
      <w:r>
        <w:rPr>
          <w:rFonts w:asciiTheme="majorHAnsi" w:hAnsiTheme="majorHAnsi"/>
        </w:rPr>
        <w:t>Educ</w:t>
      </w:r>
      <w:proofErr w:type="spellEnd"/>
      <w:r>
        <w:rPr>
          <w:rFonts w:asciiTheme="majorHAnsi" w:hAnsiTheme="majorHAnsi"/>
        </w:rPr>
        <w:t>., 58(5):438-441, 1981.</w:t>
      </w:r>
    </w:p>
    <w:p w:rsidR="00187E39" w:rsidRDefault="00187E39" w:rsidP="00187E39">
      <w:pPr>
        <w:tabs>
          <w:tab w:val="left" w:pos="1701"/>
          <w:tab w:val="left" w:pos="1985"/>
        </w:tabs>
        <w:ind w:left="1980" w:hanging="1980"/>
      </w:pPr>
    </w:p>
    <w:p w:rsidR="00187E39" w:rsidRDefault="00187E39" w:rsidP="00187E39">
      <w:pPr>
        <w:tabs>
          <w:tab w:val="left" w:pos="1701"/>
          <w:tab w:val="left" w:pos="1985"/>
        </w:tabs>
        <w:ind w:left="1980" w:hanging="1980"/>
      </w:pPr>
      <w:r>
        <w:rPr>
          <w:noProof/>
          <w:lang w:eastAsia="de-DE"/>
        </w:rPr>
      </w:r>
      <w:r>
        <w:rPr>
          <w:noProof/>
          <w:lang w:eastAsia="de-DE"/>
        </w:rPr>
        <w:pict>
          <v:shape id="Text Box 139" o:spid="_x0000_s1028" type="#_x0000_t202" style="width:462.45pt;height:118.15pt;visibility:visible;mso-position-horizontal-relative:char;mso-position-vertical-relative:line" fillcolor="white [3201]" strokecolor="#c0504d [3205]" strokeweight="1pt">
            <v:stroke dashstyle="dash"/>
            <v:shadow color="#868686"/>
            <v:textbox>
              <w:txbxContent>
                <w:p w:rsidR="00187E39" w:rsidRPr="001C29F7" w:rsidRDefault="00187E39" w:rsidP="00187E39">
                  <w:pPr>
                    <w:rPr>
                      <w:color w:val="auto"/>
                    </w:rPr>
                  </w:pPr>
                  <w:r>
                    <w:rPr>
                      <w:color w:val="auto"/>
                    </w:rPr>
                    <w:t xml:space="preserve">Im weiteren können auch andere Fluoreszenz Phänomene, aber auch die Phosphoreszenz behandelt werden. Alternativ kann dieser Versuch auch mit einem </w:t>
                  </w:r>
                  <w:proofErr w:type="spellStart"/>
                  <w:r>
                    <w:rPr>
                      <w:color w:val="auto"/>
                    </w:rPr>
                    <w:t>Kolbenprober</w:t>
                  </w:r>
                  <w:proofErr w:type="spellEnd"/>
                  <w:r>
                    <w:rPr>
                      <w:color w:val="auto"/>
                    </w:rPr>
                    <w:t xml:space="preserve"> erfolgen. In diesen werden zunächst einige Körner Iod gefüllt. Danach wird der </w:t>
                  </w:r>
                  <w:proofErr w:type="spellStart"/>
                  <w:r>
                    <w:rPr>
                      <w:color w:val="auto"/>
                    </w:rPr>
                    <w:t>Kolbenprober</w:t>
                  </w:r>
                  <w:proofErr w:type="spellEnd"/>
                  <w:r>
                    <w:rPr>
                      <w:color w:val="auto"/>
                    </w:rPr>
                    <w:t xml:space="preserve"> mit den Han</w:t>
                  </w:r>
                  <w:r>
                    <w:rPr>
                      <w:color w:val="auto"/>
                    </w:rPr>
                    <w:t>d</w:t>
                  </w:r>
                  <w:r>
                    <w:rPr>
                      <w:color w:val="auto"/>
                    </w:rPr>
                    <w:t xml:space="preserve">flächen erwärmt, bevor ein Vakuum über den Kolben aufgezogen wird. Bei Bestrahlung mit dem Laser ist ebenfalls die Fluoreszenz zu beobachten. Die Belüftung erfolgt über das Öffnen des </w:t>
                  </w:r>
                  <w:proofErr w:type="spellStart"/>
                  <w:r>
                    <w:rPr>
                      <w:color w:val="auto"/>
                    </w:rPr>
                    <w:t>Kolbenprobers</w:t>
                  </w:r>
                  <w:proofErr w:type="spellEnd"/>
                  <w:r>
                    <w:rPr>
                      <w:color w:val="auto"/>
                    </w:rPr>
                    <w:t>, wobei dies unter dem Abzug erfolgen sollte.</w:t>
                  </w:r>
                </w:p>
              </w:txbxContent>
            </v:textbox>
            <w10:wrap type="none"/>
            <w10:anchorlock/>
          </v:shape>
        </w:pict>
      </w:r>
    </w:p>
    <w:p w:rsidR="00187E39" w:rsidRDefault="00187E39" w:rsidP="00187E39">
      <w:pPr>
        <w:tabs>
          <w:tab w:val="left" w:pos="1701"/>
          <w:tab w:val="left" w:pos="1985"/>
        </w:tabs>
        <w:ind w:left="1980" w:hanging="1980"/>
        <w:rPr>
          <w:color w:val="1F497D" w:themeColor="text2"/>
        </w:rPr>
      </w:pPr>
    </w:p>
    <w:p w:rsidR="00E61846" w:rsidRPr="00187E39" w:rsidRDefault="00E61846" w:rsidP="00187E39"/>
    <w:sectPr w:rsidR="00E61846" w:rsidRPr="00187E39"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CA4E53"/>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67FE3"/>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87E39"/>
    <w:rsid w:val="001A17B4"/>
    <w:rsid w:val="001A5CBD"/>
    <w:rsid w:val="001B3161"/>
    <w:rsid w:val="001B31AC"/>
    <w:rsid w:val="001C3532"/>
    <w:rsid w:val="001C440A"/>
    <w:rsid w:val="001C4BD3"/>
    <w:rsid w:val="001D05F1"/>
    <w:rsid w:val="001D0815"/>
    <w:rsid w:val="001D337C"/>
    <w:rsid w:val="001F0559"/>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4E53"/>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775C3"/>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4E5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A4E5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A4E5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A4E5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A4E5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A4E5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A4E5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A4E5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A4E5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4E5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4E5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A4E5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A4E5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A4E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A4E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A4E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A4E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A4E5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A4E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A4E5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A4E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E5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2154</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2016-08-08T14:37:00Z</cp:lastPrinted>
  <dcterms:created xsi:type="dcterms:W3CDTF">2016-08-08T14:38:00Z</dcterms:created>
  <dcterms:modified xsi:type="dcterms:W3CDTF">2016-08-08T14:38:00Z</dcterms:modified>
</cp:coreProperties>
</file>