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622" w:rsidRDefault="00836622" w:rsidP="00836622">
      <w:pPr>
        <w:pStyle w:val="berschrift2"/>
        <w:numPr>
          <w:ilvl w:val="0"/>
          <w:numId w:val="0"/>
        </w:numPr>
        <w:ind w:left="576"/>
      </w:pPr>
      <w:bookmarkStart w:id="0" w:name="_Toc458001690"/>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418465</wp:posOffset>
                </wp:positionV>
                <wp:extent cx="5873115" cy="586740"/>
                <wp:effectExtent l="10795" t="14605" r="12065" b="825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8674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6622" w:rsidRPr="00F31EBF" w:rsidRDefault="00836622" w:rsidP="00836622">
                            <w:pPr>
                              <w:rPr>
                                <w:color w:val="auto"/>
                              </w:rPr>
                            </w:pPr>
                            <w:r>
                              <w:rPr>
                                <w:color w:val="auto"/>
                              </w:rPr>
                              <w:t>In diesem Versuch wird ein qualitativer Calciumnachweis mit Oxalationen beschrieben. Die Calciumionen werden als schwerlösliches Calciumoxalat gefällt.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25pt;margin-top:32.95pt;width:462.45pt;height:4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" fillcolor="white [3201]" strokecolor="#4472c4 [3208]" strokeweight="1pt">
                <v:stroke dashstyle="dash"/>
                <v:shadow color="#868686"/>
                <v:textbox>
                  <w:txbxContent>
                    <w:p w:rsidR="00836622" w:rsidRPr="00F31EBF" w:rsidRDefault="00836622" w:rsidP="00836622">
                      <w:pPr>
                        <w:rPr>
                          <w:color w:val="auto"/>
                        </w:rPr>
                      </w:pPr>
                      <w:r>
                        <w:rPr>
                          <w:color w:val="auto"/>
                        </w:rPr>
                        <w:t>In diesem Versuch wird ein qualitativer Calciumnachweis mit Oxalationen beschrieben. Die Calciumionen werden als schwerlösliches Calciumoxalat gefällt.</w:t>
                      </w:r>
                    </w:p>
                  </w:txbxContent>
                </v:textbox>
                <w10:wrap type="square"/>
              </v:shape>
            </w:pict>
          </mc:Fallback>
        </mc:AlternateContent>
      </w:r>
      <w:bookmarkStart w:id="1" w:name="_GoBack"/>
      <w:bookmarkEnd w:id="1"/>
      <w:r>
        <w:t>V4 – Calciumnachweis in Milch mit Ammoniumoxalat</w:t>
      </w:r>
      <w:bookmarkEnd w:id="0"/>
    </w:p>
    <w:p w:rsidR="00836622" w:rsidRDefault="00836622" w:rsidP="0083662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36622" w:rsidRPr="009C5E28" w:rsidTr="00EA77B5">
        <w:tc>
          <w:tcPr>
            <w:tcW w:w="9322" w:type="dxa"/>
            <w:gridSpan w:val="9"/>
            <w:shd w:val="clear" w:color="auto" w:fill="4F81BD"/>
            <w:vAlign w:val="center"/>
          </w:tcPr>
          <w:p w:rsidR="00836622" w:rsidRPr="00F31EBF" w:rsidRDefault="00836622" w:rsidP="00EA77B5">
            <w:pPr>
              <w:spacing w:after="0"/>
              <w:jc w:val="center"/>
              <w:rPr>
                <w:b/>
                <w:bCs/>
                <w:color w:val="FFFFFF" w:themeColor="background1"/>
              </w:rPr>
            </w:pPr>
            <w:r w:rsidRPr="00F31EBF">
              <w:rPr>
                <w:b/>
                <w:bCs/>
                <w:color w:val="FFFFFF" w:themeColor="background1"/>
              </w:rPr>
              <w:t>Gefahrenstoffe</w:t>
            </w:r>
          </w:p>
        </w:tc>
      </w:tr>
      <w:tr w:rsidR="00836622"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36622" w:rsidRPr="006B1FC4" w:rsidRDefault="00836622" w:rsidP="00EA77B5">
            <w:pPr>
              <w:spacing w:after="0" w:line="276" w:lineRule="auto"/>
              <w:jc w:val="center"/>
              <w:rPr>
                <w:color w:val="auto"/>
              </w:rPr>
            </w:pPr>
            <w:r>
              <w:rPr>
                <w:color w:val="auto"/>
              </w:rPr>
              <w:t>Essigsäure</w:t>
            </w:r>
          </w:p>
        </w:tc>
        <w:tc>
          <w:tcPr>
            <w:tcW w:w="3177" w:type="dxa"/>
            <w:gridSpan w:val="3"/>
            <w:tcBorders>
              <w:top w:val="single" w:sz="8" w:space="0" w:color="4F81BD"/>
              <w:bottom w:val="single" w:sz="8" w:space="0" w:color="4F81BD"/>
            </w:tcBorders>
            <w:shd w:val="clear" w:color="auto" w:fill="auto"/>
            <w:vAlign w:val="center"/>
          </w:tcPr>
          <w:p w:rsidR="00836622" w:rsidRPr="006B1FC4" w:rsidRDefault="00836622" w:rsidP="00EA77B5">
            <w:pPr>
              <w:pStyle w:val="Beschriftung"/>
              <w:spacing w:after="0"/>
              <w:jc w:val="center"/>
              <w:rPr>
                <w:sz w:val="22"/>
                <w:szCs w:val="22"/>
              </w:rPr>
            </w:pPr>
            <w:r>
              <w:rPr>
                <w:sz w:val="22"/>
                <w:szCs w:val="22"/>
              </w:rPr>
              <w:t>H: 226-290-214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36622" w:rsidRPr="006B1FC4" w:rsidRDefault="00836622" w:rsidP="00EA77B5">
            <w:pPr>
              <w:pStyle w:val="Beschriftung"/>
              <w:spacing w:after="0"/>
              <w:jc w:val="center"/>
              <w:rPr>
                <w:sz w:val="22"/>
                <w:szCs w:val="22"/>
              </w:rPr>
            </w:pPr>
            <w:r>
              <w:rPr>
                <w:sz w:val="22"/>
                <w:szCs w:val="22"/>
              </w:rPr>
              <w:t>P: 210-280-301+330+331-305+351+338-308+310</w:t>
            </w:r>
          </w:p>
        </w:tc>
      </w:tr>
      <w:tr w:rsidR="00836622"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36622" w:rsidRPr="006B1FC4" w:rsidRDefault="00836622" w:rsidP="00EA77B5">
            <w:pPr>
              <w:spacing w:after="0" w:line="276" w:lineRule="auto"/>
              <w:jc w:val="center"/>
              <w:rPr>
                <w:bCs/>
              </w:rPr>
            </w:pPr>
            <w:r w:rsidRPr="006B1FC4">
              <w:rPr>
                <w:color w:val="auto"/>
              </w:rPr>
              <w:t>Calciumchlorid</w:t>
            </w:r>
          </w:p>
        </w:tc>
        <w:tc>
          <w:tcPr>
            <w:tcW w:w="3177" w:type="dxa"/>
            <w:gridSpan w:val="3"/>
            <w:tcBorders>
              <w:top w:val="single" w:sz="8" w:space="0" w:color="4F81BD"/>
              <w:bottom w:val="single" w:sz="8" w:space="0" w:color="4F81BD"/>
            </w:tcBorders>
            <w:shd w:val="clear" w:color="auto" w:fill="auto"/>
            <w:vAlign w:val="center"/>
          </w:tcPr>
          <w:p w:rsidR="00836622" w:rsidRPr="006B1FC4" w:rsidRDefault="00836622" w:rsidP="00EA77B5">
            <w:pPr>
              <w:pStyle w:val="Beschriftung"/>
              <w:spacing w:after="0"/>
              <w:jc w:val="center"/>
              <w:rPr>
                <w:sz w:val="22"/>
                <w:szCs w:val="22"/>
              </w:rPr>
            </w:pPr>
            <w:r w:rsidRPr="006B1FC4">
              <w:rPr>
                <w:sz w:val="22"/>
                <w:szCs w:val="22"/>
              </w:rPr>
              <w:t>H: 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36622" w:rsidRPr="006B1FC4" w:rsidRDefault="00836622" w:rsidP="00EA77B5">
            <w:pPr>
              <w:pStyle w:val="Beschriftung"/>
              <w:spacing w:after="0"/>
              <w:jc w:val="center"/>
              <w:rPr>
                <w:sz w:val="22"/>
                <w:szCs w:val="22"/>
              </w:rPr>
            </w:pPr>
            <w:r w:rsidRPr="006B1FC4">
              <w:rPr>
                <w:sz w:val="22"/>
                <w:szCs w:val="22"/>
              </w:rPr>
              <w:t>P: 305+351+338</w:t>
            </w:r>
          </w:p>
        </w:tc>
      </w:tr>
      <w:tr w:rsidR="00836622"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36622" w:rsidRDefault="00836622" w:rsidP="00EA77B5">
            <w:pPr>
              <w:spacing w:after="0" w:line="276" w:lineRule="auto"/>
              <w:jc w:val="center"/>
            </w:pPr>
            <w:r>
              <w:t>Ammoniumoxalat</w:t>
            </w:r>
          </w:p>
        </w:tc>
        <w:tc>
          <w:tcPr>
            <w:tcW w:w="3177" w:type="dxa"/>
            <w:gridSpan w:val="3"/>
            <w:tcBorders>
              <w:top w:val="single" w:sz="8" w:space="0" w:color="4F81BD"/>
              <w:bottom w:val="single" w:sz="8" w:space="0" w:color="4F81BD"/>
            </w:tcBorders>
            <w:shd w:val="clear" w:color="auto" w:fill="auto"/>
            <w:vAlign w:val="center"/>
          </w:tcPr>
          <w:p w:rsidR="00836622" w:rsidRDefault="00836622" w:rsidP="00EA77B5">
            <w:pPr>
              <w:spacing w:after="0"/>
              <w:jc w:val="center"/>
            </w:pPr>
            <w:r>
              <w:t>H: 301+312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36622" w:rsidRDefault="00836622" w:rsidP="00EA77B5">
            <w:pPr>
              <w:spacing w:after="0"/>
              <w:jc w:val="center"/>
            </w:pPr>
            <w:r>
              <w:t>P: 302+352</w:t>
            </w:r>
          </w:p>
        </w:tc>
      </w:tr>
      <w:tr w:rsidR="00836622" w:rsidRPr="009C5E28" w:rsidTr="00EA77B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36622" w:rsidRPr="006B1FC4" w:rsidRDefault="00836622" w:rsidP="00EA77B5">
            <w:pPr>
              <w:spacing w:after="0" w:line="276" w:lineRule="auto"/>
              <w:jc w:val="center"/>
            </w:pPr>
            <w:r>
              <w:t>Calciumoxalat</w:t>
            </w:r>
          </w:p>
        </w:tc>
        <w:tc>
          <w:tcPr>
            <w:tcW w:w="3177" w:type="dxa"/>
            <w:gridSpan w:val="3"/>
            <w:tcBorders>
              <w:top w:val="single" w:sz="8" w:space="0" w:color="4F81BD"/>
              <w:bottom w:val="single" w:sz="8" w:space="0" w:color="4F81BD"/>
            </w:tcBorders>
            <w:shd w:val="clear" w:color="auto" w:fill="auto"/>
            <w:vAlign w:val="center"/>
          </w:tcPr>
          <w:p w:rsidR="00836622" w:rsidRPr="006B1FC4" w:rsidRDefault="00836622" w:rsidP="00EA77B5">
            <w:pPr>
              <w:spacing w:after="0"/>
              <w:jc w:val="center"/>
            </w:pPr>
            <w:r>
              <w:t>H: 302-312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36622" w:rsidRPr="006B1FC4" w:rsidRDefault="00836622" w:rsidP="00EA77B5">
            <w:pPr>
              <w:spacing w:after="0"/>
              <w:jc w:val="center"/>
            </w:pPr>
            <w:r>
              <w:t>P: 280</w:t>
            </w:r>
          </w:p>
        </w:tc>
      </w:tr>
      <w:tr w:rsidR="00836622" w:rsidRPr="009C5E28" w:rsidTr="00EA77B5">
        <w:tc>
          <w:tcPr>
            <w:tcW w:w="1009" w:type="dxa"/>
            <w:tcBorders>
              <w:top w:val="single" w:sz="8" w:space="0" w:color="4F81BD"/>
              <w:left w:val="single" w:sz="8" w:space="0" w:color="4F81BD"/>
              <w:bottom w:val="single" w:sz="8" w:space="0" w:color="4F81BD"/>
            </w:tcBorders>
            <w:shd w:val="clear" w:color="auto" w:fill="auto"/>
            <w:vAlign w:val="center"/>
          </w:tcPr>
          <w:p w:rsidR="00836622" w:rsidRPr="009C5E28" w:rsidRDefault="00836622" w:rsidP="00EA77B5">
            <w:pPr>
              <w:spacing w:after="0"/>
              <w:jc w:val="center"/>
              <w:rPr>
                <w:b/>
                <w:bCs/>
              </w:rPr>
            </w:pPr>
            <w:r>
              <w:rPr>
                <w:b/>
                <w:noProof/>
                <w:lang w:eastAsia="de-DE"/>
              </w:rPr>
              <w:drawing>
                <wp:inline distT="0" distB="0" distL="0" distR="0" wp14:anchorId="25DD31B6" wp14:editId="31C8C745">
                  <wp:extent cx="504190" cy="504190"/>
                  <wp:effectExtent l="19050" t="0" r="0" b="0"/>
                  <wp:docPr id="3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36622" w:rsidRPr="009C5E28" w:rsidRDefault="00836622" w:rsidP="00EA77B5">
            <w:pPr>
              <w:spacing w:after="0"/>
              <w:jc w:val="center"/>
            </w:pPr>
            <w:r>
              <w:rPr>
                <w:noProof/>
                <w:lang w:eastAsia="de-DE"/>
              </w:rPr>
              <w:drawing>
                <wp:inline distT="0" distB="0" distL="0" distR="0" wp14:anchorId="7E9165B9" wp14:editId="2AF86B3C">
                  <wp:extent cx="504190" cy="504190"/>
                  <wp:effectExtent l="19050" t="0" r="0" b="0"/>
                  <wp:docPr id="3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6"/>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36622" w:rsidRPr="009C5E28" w:rsidRDefault="00836622" w:rsidP="00EA77B5">
            <w:pPr>
              <w:spacing w:after="0"/>
              <w:jc w:val="center"/>
            </w:pPr>
            <w:r>
              <w:rPr>
                <w:noProof/>
                <w:lang w:eastAsia="de-DE"/>
              </w:rPr>
              <w:drawing>
                <wp:inline distT="0" distB="0" distL="0" distR="0" wp14:anchorId="1736AE8C" wp14:editId="27D2EADB">
                  <wp:extent cx="504190" cy="504190"/>
                  <wp:effectExtent l="19050" t="0" r="0" b="0"/>
                  <wp:docPr id="3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7"/>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36622" w:rsidRPr="009C5E28" w:rsidRDefault="00836622" w:rsidP="00EA77B5">
            <w:pPr>
              <w:spacing w:after="0"/>
              <w:jc w:val="center"/>
            </w:pPr>
            <w:r>
              <w:rPr>
                <w:noProof/>
                <w:lang w:eastAsia="de-DE"/>
              </w:rPr>
              <w:drawing>
                <wp:inline distT="0" distB="0" distL="0" distR="0" wp14:anchorId="61889DA9" wp14:editId="51154EE2">
                  <wp:extent cx="504190" cy="504190"/>
                  <wp:effectExtent l="19050" t="0" r="0" b="0"/>
                  <wp:docPr id="4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8"/>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36622" w:rsidRPr="009C5E28" w:rsidRDefault="00836622" w:rsidP="00EA77B5">
            <w:pPr>
              <w:spacing w:after="0"/>
              <w:jc w:val="center"/>
            </w:pPr>
            <w:r>
              <w:rPr>
                <w:noProof/>
                <w:lang w:eastAsia="de-DE"/>
              </w:rPr>
              <w:drawing>
                <wp:inline distT="0" distB="0" distL="0" distR="0" wp14:anchorId="398022EC" wp14:editId="03C88404">
                  <wp:extent cx="504190" cy="504190"/>
                  <wp:effectExtent l="19050" t="0" r="0" b="0"/>
                  <wp:docPr id="4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9"/>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36622" w:rsidRPr="009C5E28" w:rsidRDefault="00836622" w:rsidP="00EA77B5">
            <w:pPr>
              <w:spacing w:after="0"/>
              <w:jc w:val="center"/>
            </w:pPr>
            <w:r>
              <w:rPr>
                <w:noProof/>
                <w:lang w:eastAsia="de-DE"/>
              </w:rPr>
              <w:drawing>
                <wp:inline distT="0" distB="0" distL="0" distR="0" wp14:anchorId="3E7D3D7C" wp14:editId="65AC8214">
                  <wp:extent cx="504190" cy="504190"/>
                  <wp:effectExtent l="19050" t="0" r="0" b="0"/>
                  <wp:docPr id="4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0"/>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36622" w:rsidRPr="009C5E28" w:rsidRDefault="00836622" w:rsidP="00EA77B5">
            <w:pPr>
              <w:spacing w:after="0"/>
              <w:jc w:val="center"/>
            </w:pPr>
            <w:r>
              <w:rPr>
                <w:noProof/>
                <w:lang w:eastAsia="de-DE"/>
              </w:rPr>
              <w:drawing>
                <wp:inline distT="0" distB="0" distL="0" distR="0" wp14:anchorId="260736C6" wp14:editId="7DCD06EB">
                  <wp:extent cx="504190" cy="504190"/>
                  <wp:effectExtent l="19050" t="0" r="0" b="0"/>
                  <wp:docPr id="4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1"/>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36622" w:rsidRPr="009C5E28" w:rsidRDefault="00836622" w:rsidP="00EA77B5">
            <w:pPr>
              <w:spacing w:after="0"/>
              <w:jc w:val="center"/>
            </w:pPr>
            <w:r>
              <w:rPr>
                <w:noProof/>
                <w:lang w:eastAsia="de-DE"/>
              </w:rPr>
              <w:drawing>
                <wp:inline distT="0" distB="0" distL="0" distR="0" wp14:anchorId="3D8F6007" wp14:editId="4063D3B8">
                  <wp:extent cx="511175" cy="511175"/>
                  <wp:effectExtent l="19050" t="0" r="3175" b="0"/>
                  <wp:docPr id="4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2"/>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36622" w:rsidRPr="009C5E28" w:rsidRDefault="00836622" w:rsidP="00EA77B5">
            <w:pPr>
              <w:spacing w:after="0"/>
              <w:jc w:val="center"/>
            </w:pPr>
            <w:r>
              <w:rPr>
                <w:noProof/>
                <w:lang w:eastAsia="de-DE"/>
              </w:rPr>
              <w:drawing>
                <wp:inline distT="0" distB="0" distL="0" distR="0" wp14:anchorId="50BE1841" wp14:editId="27B54A5C">
                  <wp:extent cx="504190" cy="504190"/>
                  <wp:effectExtent l="19050" t="0" r="0" b="0"/>
                  <wp:docPr id="4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r>
    </w:tbl>
    <w:p w:rsidR="00836622" w:rsidRDefault="00836622" w:rsidP="00836622"/>
    <w:p w:rsidR="00836622" w:rsidRDefault="00836622" w:rsidP="00836622">
      <w:pPr>
        <w:ind w:left="2124" w:hanging="2124"/>
      </w:pPr>
      <w:r>
        <w:t>Material:</w:t>
      </w:r>
      <w:r>
        <w:tab/>
        <w:t xml:space="preserve">Reagenzglasständer, 3 Reagenzgläser, Pipette, Trichter, Filterpapier, Bechergläser, </w:t>
      </w:r>
    </w:p>
    <w:p w:rsidR="00836622" w:rsidRDefault="00836622" w:rsidP="00836622">
      <w:pPr>
        <w:ind w:left="2124" w:hanging="2124"/>
      </w:pPr>
      <w:r>
        <w:t>Chemikalien:</w:t>
      </w:r>
      <w:r>
        <w:tab/>
        <w:t>Calciumchlorid, Ammoniumoxalat, Essigsäure</w:t>
      </w:r>
    </w:p>
    <w:p w:rsidR="00836622" w:rsidRDefault="00836622" w:rsidP="00836622">
      <w:pPr>
        <w:ind w:left="2124" w:hanging="2124"/>
      </w:pPr>
      <w:r>
        <w:t>Durchführung:</w:t>
      </w:r>
      <w:r>
        <w:tab/>
        <w:t>50 mL Milch werden mit ca. 5 mL Essigessenz versetzt und ca. 15 Minuten stehen gelassen. Anschließend wird das Gemisch filtriert. Das Filtrat wird zur weiteren Verwendung aufgehoben. Dann wird ein Reagenzglas zu etwa einem Viertel mit destilliertem Wasser, ein zweites mit Calciumchlorid-Lösung und ein drittes mit dem filtrierten Gemisch befüllt. Mithilfe einer Pipette werden in jedes Reagenzglas einige Tropfen Ammoniumoxalat-Lösung gegeben.</w:t>
      </w:r>
    </w:p>
    <w:p w:rsidR="00836622" w:rsidRDefault="00836622" w:rsidP="00836622">
      <w:pPr>
        <w:ind w:left="2124" w:hanging="2124"/>
      </w:pPr>
      <w:r>
        <w:t>Beobachtung:</w:t>
      </w:r>
      <w:r>
        <w:tab/>
        <w:t>Im destillierten Wasser ist keine Veränderung zu beobachten. In dem Milchgemisch und in der Calciumchlorid-Lösung bildet sich ein weißer Niederschlag.</w:t>
      </w:r>
    </w:p>
    <w:p w:rsidR="00836622" w:rsidRDefault="00836622" w:rsidP="00836622">
      <w:pPr>
        <w:ind w:left="2124" w:hanging="2124"/>
        <w:jc w:val="center"/>
      </w:pPr>
      <w:r>
        <w:rPr>
          <w:noProof/>
          <w:lang w:eastAsia="de-DE"/>
        </w:rPr>
        <w:lastRenderedPageBreak/>
        <w:drawing>
          <wp:inline distT="0" distB="0" distL="0" distR="0" wp14:anchorId="70F26F9B" wp14:editId="1FB07264">
            <wp:extent cx="4143510" cy="2536166"/>
            <wp:effectExtent l="19050" t="0" r="9390" b="0"/>
            <wp:docPr id="46" name="Bild 15" descr="C:\Users\Kasperle\Desktop\SVP\SVP Chemie\Erdalkalimetalle\Oxalat nachher Schn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sperle\Desktop\SVP\SVP Chemie\Erdalkalimetalle\Oxalat nachher Schnitt.png"/>
                    <pic:cNvPicPr>
                      <a:picLocks noChangeAspect="1" noChangeArrowheads="1"/>
                    </pic:cNvPicPr>
                  </pic:nvPicPr>
                  <pic:blipFill>
                    <a:blip r:embed="rId14"/>
                    <a:srcRect/>
                    <a:stretch>
                      <a:fillRect/>
                    </a:stretch>
                  </pic:blipFill>
                  <pic:spPr bwMode="auto">
                    <a:xfrm>
                      <a:off x="0" y="0"/>
                      <a:ext cx="4143562" cy="2536198"/>
                    </a:xfrm>
                    <a:prstGeom prst="rect">
                      <a:avLst/>
                    </a:prstGeom>
                    <a:noFill/>
                    <a:ln w="9525">
                      <a:noFill/>
                      <a:miter lim="800000"/>
                      <a:headEnd/>
                      <a:tailEnd/>
                    </a:ln>
                  </pic:spPr>
                </pic:pic>
              </a:graphicData>
            </a:graphic>
          </wp:inline>
        </w:drawing>
      </w:r>
    </w:p>
    <w:p w:rsidR="00836622" w:rsidRDefault="00836622" w:rsidP="00836622">
      <w:pPr>
        <w:ind w:left="2124" w:hanging="2124"/>
        <w:jc w:val="center"/>
        <w:rPr>
          <w:sz w:val="18"/>
          <w:szCs w:val="18"/>
        </w:rPr>
      </w:pPr>
      <w:r>
        <w:rPr>
          <w:sz w:val="18"/>
          <w:szCs w:val="18"/>
        </w:rPr>
        <w:t>Abb. 4: Ergebnis Calciumnachweis: Molke (Links), Calciumchlorid-Lösung (Mitte) und Wasser (rechts).</w:t>
      </w:r>
    </w:p>
    <w:p w:rsidR="00836622" w:rsidRDefault="00836622" w:rsidP="00836622">
      <w:pPr>
        <w:ind w:left="2124" w:hanging="2124"/>
      </w:pPr>
      <w:r>
        <w:t>Deutung:</w:t>
      </w:r>
      <w:r>
        <w:tab/>
        <w:t>Die Calciumionen bilden mit den Oxalationen das schwerlösliche Salz Calciumoxalat, welches als weißer Feststoff ausfällt. Milch enthält im Gegensatz zu Wasser Calcium, wodurch der Nachweis dort positiv ausfällt. Das Wasser dient als negative Blindprobe, die Calciumchlorid-Lösung als positive Blindprobe.</w:t>
      </w:r>
    </w:p>
    <w:p w:rsidR="00836622" w:rsidRDefault="00836622" w:rsidP="00836622">
      <w:pPr>
        <w:rPr>
          <w:rFonts w:eastAsiaTheme="minorEastAsia"/>
          <w:color w:val="auto"/>
        </w:rPr>
      </w:pPr>
      <m:oMathPara>
        <m:oMath>
          <m:sSubSup>
            <m:sSubSupPr>
              <m:ctrlPr>
                <w:rPr>
                  <w:rFonts w:ascii="Cambria Math" w:hAnsi="Cambria Math"/>
                  <w:i/>
                  <w:color w:val="auto"/>
                </w:rPr>
              </m:ctrlPr>
            </m:sSubSupPr>
            <m:e>
              <m:r>
                <w:rPr>
                  <w:rFonts w:ascii="Cambria Math" w:hAnsi="Cambria Math"/>
                  <w:color w:val="auto"/>
                </w:rPr>
                <m:t>Ca</m:t>
              </m:r>
            </m:e>
            <m:sub>
              <m:r>
                <w:rPr>
                  <w:rFonts w:ascii="Cambria Math" w:hAnsi="Cambria Math"/>
                  <w:color w:val="auto"/>
                </w:rPr>
                <m:t>(aq)</m:t>
              </m:r>
            </m:sub>
            <m:sup>
              <m:r>
                <w:rPr>
                  <w:rFonts w:ascii="Cambria Math" w:hAnsi="Cambria Math"/>
                  <w:color w:val="auto"/>
                </w:rPr>
                <m:t>2+</m:t>
              </m:r>
            </m:sup>
          </m:sSubSup>
          <m:r>
            <w:rPr>
              <w:rFonts w:ascii="Cambria Math" w:hAnsi="Cambria Math"/>
              <w:color w:val="auto"/>
              <w:lang w:val="en-US"/>
            </w:rPr>
            <m:t xml:space="preserve">+ </m:t>
          </m:r>
          <m:sSub>
            <m:sSubPr>
              <m:ctrlPr>
                <w:rPr>
                  <w:rFonts w:ascii="Cambria Math" w:hAnsi="Cambria Math"/>
                  <w:i/>
                  <w:color w:val="auto"/>
                  <w:lang w:val="en-US"/>
                </w:rPr>
              </m:ctrlPr>
            </m:sSubPr>
            <m:e>
              <m:r>
                <w:rPr>
                  <w:rFonts w:ascii="Cambria Math" w:hAnsi="Cambria Math"/>
                  <w:color w:val="auto"/>
                  <w:lang w:val="en-US"/>
                </w:rPr>
                <m:t>(NH</m:t>
              </m:r>
            </m:e>
            <m:sub>
              <m:r>
                <w:rPr>
                  <w:rFonts w:ascii="Cambria Math" w:hAnsi="Cambria Math"/>
                  <w:color w:val="auto"/>
                  <w:lang w:val="en-US"/>
                </w:rPr>
                <m:t>4</m:t>
              </m:r>
            </m:sub>
          </m:sSub>
          <m:sSub>
            <m:sSubPr>
              <m:ctrlPr>
                <w:rPr>
                  <w:rFonts w:ascii="Cambria Math" w:hAnsi="Cambria Math"/>
                  <w:i/>
                  <w:color w:val="auto"/>
                  <w:lang w:val="en-US"/>
                </w:rPr>
              </m:ctrlPr>
            </m:sSubPr>
            <m:e>
              <m:sSub>
                <m:sSubPr>
                  <m:ctrlPr>
                    <w:rPr>
                      <w:rFonts w:ascii="Cambria Math" w:hAnsi="Cambria Math"/>
                      <w:i/>
                      <w:color w:val="auto"/>
                      <w:lang w:val="en-US"/>
                    </w:rPr>
                  </m:ctrlPr>
                </m:sSubPr>
                <m:e>
                  <m:r>
                    <w:rPr>
                      <w:rFonts w:ascii="Cambria Math" w:hAnsi="Cambria Math"/>
                      <w:color w:val="auto"/>
                      <w:lang w:val="en-US"/>
                    </w:rPr>
                    <m:t>)</m:t>
                  </m:r>
                </m:e>
                <m:sub>
                  <m:r>
                    <w:rPr>
                      <w:rFonts w:ascii="Cambria Math" w:hAnsi="Cambria Math"/>
                      <w:color w:val="auto"/>
                      <w:lang w:val="en-US"/>
                    </w:rPr>
                    <m:t>2</m:t>
                  </m:r>
                </m:sub>
              </m:sSub>
              <m:r>
                <w:rPr>
                  <w:rFonts w:ascii="Cambria Math" w:hAnsi="Cambria Math"/>
                  <w:color w:val="auto"/>
                  <w:lang w:val="en-US"/>
                </w:rPr>
                <m:t>C</m:t>
              </m:r>
            </m:e>
            <m:sub>
              <m:r>
                <w:rPr>
                  <w:rFonts w:ascii="Cambria Math" w:hAnsi="Cambria Math"/>
                  <w:color w:val="auto"/>
                  <w:lang w:val="en-US"/>
                </w:rPr>
                <m:t>2</m:t>
              </m:r>
            </m:sub>
          </m:sSub>
          <m:sSub>
            <m:sSubPr>
              <m:ctrlPr>
                <w:rPr>
                  <w:rFonts w:ascii="Cambria Math" w:hAnsi="Cambria Math"/>
                  <w:i/>
                  <w:color w:val="auto"/>
                  <w:lang w:val="en-US"/>
                </w:rPr>
              </m:ctrlPr>
            </m:sSubPr>
            <m:e>
              <m:r>
                <w:rPr>
                  <w:rFonts w:ascii="Cambria Math" w:hAnsi="Cambria Math"/>
                  <w:color w:val="auto"/>
                  <w:lang w:val="en-US"/>
                </w:rPr>
                <m:t>O</m:t>
              </m:r>
            </m:e>
            <m:sub>
              <m:r>
                <w:rPr>
                  <w:rFonts w:ascii="Cambria Math" w:hAnsi="Cambria Math"/>
                  <w:color w:val="auto"/>
                  <w:lang w:val="en-US"/>
                </w:rPr>
                <m:t>4 (aq)</m:t>
              </m:r>
            </m:sub>
          </m:sSub>
          <m:r>
            <w:rPr>
              <w:rFonts w:ascii="Cambria Math" w:hAnsi="Cambria Math"/>
              <w:color w:val="auto"/>
              <w:lang w:val="en-US"/>
            </w:rPr>
            <m:t xml:space="preserve"> → Ca</m:t>
          </m:r>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lang w:val="en-US"/>
                </w:rPr>
                <m:t>2</m:t>
              </m:r>
            </m:sub>
          </m:sSub>
          <m:sSub>
            <m:sSubPr>
              <m:ctrlPr>
                <w:rPr>
                  <w:rFonts w:ascii="Cambria Math" w:hAnsi="Cambria Math"/>
                  <w:i/>
                  <w:color w:val="auto"/>
                  <w:lang w:val="en-US"/>
                </w:rPr>
              </m:ctrlPr>
            </m:sSubPr>
            <m:e>
              <m:r>
                <w:rPr>
                  <w:rFonts w:ascii="Cambria Math" w:hAnsi="Cambria Math"/>
                  <w:color w:val="auto"/>
                  <w:lang w:val="en-US"/>
                </w:rPr>
                <m:t>O</m:t>
              </m:r>
            </m:e>
            <m:sub>
              <m:r>
                <w:rPr>
                  <w:rFonts w:ascii="Cambria Math" w:hAnsi="Cambria Math"/>
                  <w:color w:val="auto"/>
                  <w:lang w:val="en-US"/>
                </w:rPr>
                <m:t>4 (s)</m:t>
              </m:r>
            </m:sub>
          </m:sSub>
          <m:r>
            <w:rPr>
              <w:rFonts w:ascii="Cambria Math" w:hAnsi="Cambria Math"/>
              <w:color w:val="auto"/>
              <w:lang w:val="en-US"/>
            </w:rPr>
            <m:t xml:space="preserve">+ </m:t>
          </m:r>
          <m:sSubSup>
            <m:sSubSupPr>
              <m:ctrlPr>
                <w:rPr>
                  <w:rFonts w:ascii="Cambria Math" w:hAnsi="Cambria Math"/>
                  <w:i/>
                  <w:color w:val="auto"/>
                </w:rPr>
              </m:ctrlPr>
            </m:sSubSupPr>
            <m:e>
              <m:r>
                <w:rPr>
                  <w:rFonts w:ascii="Cambria Math" w:hAnsi="Cambria Math"/>
                  <w:color w:val="auto"/>
                </w:rPr>
                <m:t>2 NH</m:t>
              </m:r>
            </m:e>
            <m:sub>
              <m:r>
                <w:rPr>
                  <w:rFonts w:ascii="Cambria Math" w:hAnsi="Cambria Math"/>
                  <w:color w:val="auto"/>
                </w:rPr>
                <m:t>4 (aq)</m:t>
              </m:r>
            </m:sub>
            <m:sup>
              <m:r>
                <w:rPr>
                  <w:rFonts w:ascii="Cambria Math" w:hAnsi="Cambria Math"/>
                  <w:color w:val="auto"/>
                </w:rPr>
                <m:t>+</m:t>
              </m:r>
            </m:sup>
          </m:sSubSup>
        </m:oMath>
      </m:oMathPara>
    </w:p>
    <w:p w:rsidR="00836622" w:rsidRDefault="00836622" w:rsidP="00836622">
      <w:pPr>
        <w:ind w:left="2124" w:firstLine="6"/>
        <w:rPr>
          <w:rFonts w:eastAsiaTheme="minorEastAsia"/>
          <w:color w:val="auto"/>
        </w:rPr>
      </w:pPr>
      <w:r>
        <w:rPr>
          <w:rFonts w:eastAsiaTheme="minorEastAsia"/>
          <w:color w:val="auto"/>
        </w:rPr>
        <w:t>Die Essigsäure wird zur Milch gegeben um die Eiweiße zu fällen. In der weißen Milch wäre die Reaktion sonst nicht sichtbar.</w:t>
      </w:r>
    </w:p>
    <w:p w:rsidR="00836622" w:rsidRDefault="00836622" w:rsidP="00836622">
      <w:pPr>
        <w:rPr>
          <w:rFonts w:eastAsiaTheme="minorEastAsia"/>
          <w:color w:val="auto"/>
        </w:rPr>
      </w:pPr>
      <w:r>
        <w:rPr>
          <w:rFonts w:eastAsiaTheme="minorEastAsia"/>
          <w:color w:val="auto"/>
        </w:rPr>
        <w:t>Entsorgung:</w:t>
      </w:r>
      <w:r>
        <w:rPr>
          <w:rFonts w:eastAsiaTheme="minorEastAsia"/>
          <w:color w:val="auto"/>
        </w:rPr>
        <w:tab/>
      </w:r>
      <w:r>
        <w:rPr>
          <w:rFonts w:eastAsiaTheme="minorEastAsia"/>
          <w:color w:val="auto"/>
        </w:rPr>
        <w:tab/>
        <w:t>Die Lösungen können über den Ausguss entsorgt werden.</w:t>
      </w:r>
    </w:p>
    <w:p w:rsidR="00836622" w:rsidRDefault="00836622" w:rsidP="00836622">
      <w:pPr>
        <w:ind w:left="2124" w:hanging="2124"/>
        <w:jc w:val="left"/>
        <w:rPr>
          <w:rFonts w:eastAsiaTheme="minorEastAsia"/>
          <w:color w:val="auto"/>
        </w:rPr>
      </w:pPr>
      <w:r>
        <w:rPr>
          <w:rFonts w:eastAsiaTheme="minorEastAsia"/>
          <w:color w:val="auto"/>
        </w:rPr>
        <w:t>Literatur:</w:t>
      </w:r>
      <w:r>
        <w:rPr>
          <w:rFonts w:eastAsiaTheme="minorEastAsia"/>
          <w:color w:val="auto"/>
        </w:rPr>
        <w:tab/>
        <w:t xml:space="preserve">Bruhn, C., Steinborn, D. Escarpa Gaede, P., </w:t>
      </w:r>
      <w:r w:rsidRPr="00673D34">
        <w:rPr>
          <w:rFonts w:eastAsiaTheme="minorEastAsia"/>
          <w:color w:val="auto"/>
        </w:rPr>
        <w:t>http://www.chemgapedia.de/vsengine/vlu/vsc/de/ch/6/ac/vers uche/kationen/_vlu/calcium.vlu/Page/vsc/de/ch/6/ac/versuche/kationen/calcium/nachweis.vscml.html</w:t>
      </w:r>
      <w:r>
        <w:rPr>
          <w:rFonts w:eastAsiaTheme="minorEastAsia"/>
          <w:color w:val="auto"/>
        </w:rPr>
        <w:t xml:space="preserve"> (Zuletzt abgerufen am 29.07.2016)</w:t>
      </w:r>
    </w:p>
    <w:p w:rsidR="00836622" w:rsidRDefault="00836622" w:rsidP="00836622">
      <w:pPr>
        <w:ind w:left="2124" w:hanging="2124"/>
        <w:jc w:val="left"/>
        <w:rPr>
          <w:rFonts w:eastAsiaTheme="minorEastAsia"/>
          <w:color w:val="auto"/>
        </w:rPr>
      </w:pPr>
      <w:r>
        <w:rPr>
          <w:noProof/>
          <w:lang w:eastAsia="de-DE"/>
        </w:rPr>
        <mc:AlternateContent>
          <mc:Choice Requires="wps">
            <w:drawing>
              <wp:inline distT="0" distB="0" distL="0" distR="0">
                <wp:extent cx="5873115" cy="1040130"/>
                <wp:effectExtent l="8890" t="10795" r="13970" b="635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401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6622" w:rsidRPr="00F31EBF" w:rsidRDefault="00836622" w:rsidP="00836622">
                            <w:pPr>
                              <w:rPr>
                                <w:color w:val="auto"/>
                              </w:rPr>
                            </w:pPr>
                            <w:r w:rsidRPr="00F31EBF">
                              <w:rPr>
                                <w:b/>
                                <w:color w:val="auto"/>
                              </w:rPr>
                              <w:t xml:space="preserve">Unterrichtsanschlüsse </w:t>
                            </w:r>
                            <w:r>
                              <w:rPr>
                                <w:color w:val="auto"/>
                              </w:rPr>
                              <w:t>Der Versuch eignet sich sehr gut für eine fächerübergreifende Einheit mit der Biologie. Calciumionen spielen eine wichtige Rolle im menschlichen Körper und die Bildung von Calciumoxalat ist einer der Hauptgründe für die Bildung von Nierensteinen. In diesem Zusammenhang kann auch auf das Thema Ernährung eingegangen werden.</w:t>
                            </w:r>
                          </w:p>
                        </w:txbxContent>
                      </wps:txbx>
                      <wps:bodyPr rot="0" vert="horz" wrap="square" lIns="91440" tIns="45720" rIns="91440" bIns="45720" anchor="t" anchorCtr="0" upright="1">
                        <a:noAutofit/>
                      </wps:bodyPr>
                    </wps:wsp>
                  </a:graphicData>
                </a:graphic>
              </wp:inline>
            </w:drawing>
          </mc:Choice>
          <mc:Fallback>
            <w:pict>
              <v:shape id="Textfeld 1" o:spid="_x0000_s1027" type="#_x0000_t202" style="width:462.45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" fillcolor="white [3201]" strokecolor="#ed7d31 [3205]" strokeweight="1pt">
                <v:stroke dashstyle="dash"/>
                <v:shadow color="#868686"/>
                <v:textbox>
                  <w:txbxContent>
                    <w:p w:rsidR="00836622" w:rsidRPr="00F31EBF" w:rsidRDefault="00836622" w:rsidP="00836622">
                      <w:pPr>
                        <w:rPr>
                          <w:color w:val="auto"/>
                        </w:rPr>
                      </w:pPr>
                      <w:r w:rsidRPr="00F31EBF">
                        <w:rPr>
                          <w:b/>
                          <w:color w:val="auto"/>
                        </w:rPr>
                        <w:t xml:space="preserve">Unterrichtsanschlüsse </w:t>
                      </w:r>
                      <w:r>
                        <w:rPr>
                          <w:color w:val="auto"/>
                        </w:rPr>
                        <w:t>Der Versuch eignet sich sehr gut für eine fächerübergreifende Einheit mit der Biologie. Calciumionen spielen eine wichtige Rolle im menschlichen Körper und die Bildung von Calciumoxalat ist einer der Hauptgründe für die Bildung von Nierensteinen. In diesem Zusammenhang kann auch auf das Thema Ernährung eingegangen werden.</w:t>
                      </w:r>
                    </w:p>
                  </w:txbxContent>
                </v:textbox>
                <w10:anchorlock/>
              </v:shape>
            </w:pict>
          </mc:Fallback>
        </mc:AlternateContent>
      </w:r>
    </w:p>
    <w:p w:rsidR="00836622" w:rsidRPr="00673D34" w:rsidRDefault="00836622" w:rsidP="00836622">
      <w:pPr>
        <w:ind w:left="2124" w:hanging="2124"/>
        <w:jc w:val="left"/>
        <w:sectPr w:rsidR="00836622" w:rsidRPr="00673D34" w:rsidSect="0007729E">
          <w:pgSz w:w="11906" w:h="16838"/>
          <w:pgMar w:top="1417" w:right="1417" w:bottom="709" w:left="1417" w:header="708" w:footer="708" w:gutter="0"/>
          <w:pgNumType w:start="0"/>
          <w:cols w:space="708"/>
          <w:titlePg/>
          <w:docGrid w:linePitch="360"/>
        </w:sectPr>
      </w:pPr>
    </w:p>
    <w:p w:rsidR="00604268" w:rsidRDefault="00836622"/>
    <w:sectPr w:rsidR="006042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1A"/>
    <w:rsid w:val="0020441A"/>
    <w:rsid w:val="00836622"/>
    <w:rsid w:val="00E45138"/>
    <w:rsid w:val="00FB4A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B66AB"/>
  <w15:chartTrackingRefBased/>
  <w15:docId w15:val="{060DAE25-0EB0-43C1-9062-C9E8DECB4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836622"/>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836622"/>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836622"/>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836622"/>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836622"/>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836622"/>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836622"/>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83662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3662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3662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36622"/>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836622"/>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836622"/>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836622"/>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836622"/>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836622"/>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83662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3662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36622"/>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836622"/>
    <w:pPr>
      <w:spacing w:line="240" w:lineRule="auto"/>
    </w:pPr>
    <w:rPr>
      <w:b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273</Words>
  <Characters>1720</Characters>
  <Application>Microsoft Office Word</Application>
  <DocSecurity>0</DocSecurity>
  <Lines>14</Lines>
  <Paragraphs>3</Paragraphs>
  <ScaleCrop>false</ScaleCrop>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Jannik</dc:creator>
  <cp:keywords/>
  <dc:description/>
  <cp:lastModifiedBy>Jannik</cp:lastModifiedBy>
  <cp:revision>2</cp:revision>
  <dcterms:created xsi:type="dcterms:W3CDTF">2016-08-08T15:21:00Z</dcterms:created>
  <dcterms:modified xsi:type="dcterms:W3CDTF">2016-08-08T15:21:00Z</dcterms:modified>
</cp:coreProperties>
</file>