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25776595"/>
    <w:bookmarkStart w:id="1" w:name="_Toc458093654"/>
    <w:bookmarkStart w:id="2" w:name="_GoBack"/>
    <w:bookmarkEnd w:id="2"/>
    <w:p w:rsidR="003B6E8D" w:rsidRPr="00810D5A" w:rsidRDefault="003B6E8D" w:rsidP="003B6E8D">
      <w:pPr>
        <w:pStyle w:val="berschrift2"/>
        <w:contextualSpacing/>
        <w:rPr>
          <w:rFonts w:asciiTheme="minorHAnsi" w:hAnsiTheme="minorHAnsi"/>
        </w:rPr>
      </w:pPr>
      <w:r w:rsidRPr="00810D5A">
        <w:rPr>
          <w:rFonts w:asciiTheme="minorHAnsi" w:hAnsiTheme="minorHAnsi"/>
          <w:noProof/>
          <w:lang w:eastAsia="de-DE"/>
        </w:rPr>
        <mc:AlternateContent>
          <mc:Choice Requires="wps">
            <w:drawing>
              <wp:anchor distT="0" distB="0" distL="114300" distR="114300" simplePos="0" relativeHeight="251659264" behindDoc="0" locked="0" layoutInCell="1" allowOverlap="1" wp14:anchorId="33E8CD99" wp14:editId="05243556">
                <wp:simplePos x="0" y="0"/>
                <wp:positionH relativeFrom="margin">
                  <wp:align>left</wp:align>
                </wp:positionH>
                <wp:positionV relativeFrom="paragraph">
                  <wp:posOffset>396875</wp:posOffset>
                </wp:positionV>
                <wp:extent cx="5873115" cy="1676400"/>
                <wp:effectExtent l="0" t="0" r="13335" b="19050"/>
                <wp:wrapSquare wrapText="bothSides"/>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764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6E8D" w:rsidRDefault="003B6E8D" w:rsidP="003B6E8D">
                            <w:pPr>
                              <w:rPr>
                                <w:color w:val="auto"/>
                              </w:rPr>
                            </w:pPr>
                            <w:r>
                              <w:rPr>
                                <w:color w:val="auto"/>
                              </w:rPr>
                              <w:t xml:space="preserve">In diesem Versuch wird Schwefelsäure nach dem Kontaktverfahren aus Pyrit hergestellt. Dabei soll das Säure-Base-Konzept von Lavoisier verdeutlicht werden, um einen Ausgangspunkt auf der Stoffebene zu schaffen, von dem aus die Konzepte von Arrhenius und </w:t>
                            </w:r>
                            <w:proofErr w:type="spellStart"/>
                            <w:r>
                              <w:rPr>
                                <w:color w:val="auto"/>
                              </w:rPr>
                              <w:t>Brönsted</w:t>
                            </w:r>
                            <w:proofErr w:type="spellEnd"/>
                            <w:r>
                              <w:rPr>
                                <w:color w:val="auto"/>
                              </w:rPr>
                              <w:t xml:space="preserve"> auf Teilchenebene eingeführt werden können.</w:t>
                            </w:r>
                          </w:p>
                          <w:p w:rsidR="003B6E8D" w:rsidRPr="00F31EBF" w:rsidRDefault="003B6E8D" w:rsidP="003B6E8D">
                            <w:pPr>
                              <w:rPr>
                                <w:color w:val="auto"/>
                              </w:rPr>
                            </w:pPr>
                            <w:r>
                              <w:rPr>
                                <w:color w:val="auto"/>
                              </w:rPr>
                              <w:t xml:space="preserve">Die </w:t>
                            </w:r>
                            <w:proofErr w:type="spellStart"/>
                            <w:r>
                              <w:rPr>
                                <w:color w:val="auto"/>
                              </w:rPr>
                              <w:t>SuS</w:t>
                            </w:r>
                            <w:proofErr w:type="spellEnd"/>
                            <w:r>
                              <w:rPr>
                                <w:color w:val="auto"/>
                              </w:rPr>
                              <w:t xml:space="preserve"> müssen für diesen Versuch wissen, dass es sich bei Schwefel um ein Nichtmetall handelt und das Prinzip eines Katalysators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8CD99" id="_x0000_t202" coordsize="21600,21600" o:spt="202" path="m,l,21600r21600,l21600,xe">
                <v:stroke joinstyle="miter"/>
                <v:path gradientshapeok="t" o:connecttype="rect"/>
              </v:shapetype>
              <v:shape id="Text Box 60" o:spid="_x0000_s1026" type="#_x0000_t202" style="position:absolute;left:0;text-align:left;margin-left:0;margin-top:31.25pt;width:462.45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" fillcolor="white [3201]" strokecolor="#4472c4 [3208]" strokeweight="1pt">
                <v:stroke dashstyle="dash"/>
                <v:shadow color="#868686"/>
                <v:textbox>
                  <w:txbxContent>
                    <w:p w:rsidR="003B6E8D" w:rsidRDefault="003B6E8D" w:rsidP="003B6E8D">
                      <w:pPr>
                        <w:rPr>
                          <w:color w:val="auto"/>
                        </w:rPr>
                      </w:pPr>
                      <w:r>
                        <w:rPr>
                          <w:color w:val="auto"/>
                        </w:rPr>
                        <w:t xml:space="preserve">In diesem Versuch wird Schwefelsäure nach dem Kontaktverfahren aus Pyrit hergestellt. Dabei soll das Säure-Base-Konzept von Lavoisier verdeutlicht werden, um einen Ausgangspunkt auf der Stoffebene zu schaffen, von dem aus die Konzepte von Arrhenius und </w:t>
                      </w:r>
                      <w:proofErr w:type="spellStart"/>
                      <w:r>
                        <w:rPr>
                          <w:color w:val="auto"/>
                        </w:rPr>
                        <w:t>Brönsted</w:t>
                      </w:r>
                      <w:proofErr w:type="spellEnd"/>
                      <w:r>
                        <w:rPr>
                          <w:color w:val="auto"/>
                        </w:rPr>
                        <w:t xml:space="preserve"> auf Teilchenebene eingeführt werden können.</w:t>
                      </w:r>
                    </w:p>
                    <w:p w:rsidR="003B6E8D" w:rsidRPr="00F31EBF" w:rsidRDefault="003B6E8D" w:rsidP="003B6E8D">
                      <w:pPr>
                        <w:rPr>
                          <w:color w:val="auto"/>
                        </w:rPr>
                      </w:pPr>
                      <w:r>
                        <w:rPr>
                          <w:color w:val="auto"/>
                        </w:rPr>
                        <w:t xml:space="preserve">Die </w:t>
                      </w:r>
                      <w:proofErr w:type="spellStart"/>
                      <w:r>
                        <w:rPr>
                          <w:color w:val="auto"/>
                        </w:rPr>
                        <w:t>SuS</w:t>
                      </w:r>
                      <w:proofErr w:type="spellEnd"/>
                      <w:r>
                        <w:rPr>
                          <w:color w:val="auto"/>
                        </w:rPr>
                        <w:t xml:space="preserve"> müssen für diesen Versuch wissen, dass es sich bei Schwefel um ein Nichtmetall handelt und das Prinzip eines Katalysators kennen.</w:t>
                      </w:r>
                    </w:p>
                  </w:txbxContent>
                </v:textbox>
                <w10:wrap type="square" anchorx="margin"/>
              </v:shape>
            </w:pict>
          </mc:Fallback>
        </mc:AlternateContent>
      </w:r>
      <w:bookmarkEnd w:id="0"/>
      <w:r>
        <w:rPr>
          <w:rFonts w:asciiTheme="minorHAnsi" w:hAnsiTheme="minorHAnsi"/>
        </w:rPr>
        <w:t xml:space="preserve">V1 </w:t>
      </w:r>
      <w:r w:rsidRPr="00810D5A">
        <w:rPr>
          <w:rFonts w:asciiTheme="minorHAnsi" w:hAnsiTheme="minorHAnsi"/>
        </w:rPr>
        <w:t>Darstellung von Schwefelsäure über das Kontaktverfahren</w:t>
      </w:r>
      <w:bookmarkEnd w:id="1"/>
    </w:p>
    <w:p w:rsidR="003B6E8D" w:rsidRDefault="003B6E8D" w:rsidP="003B6E8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B6E8D" w:rsidRPr="00810D5A" w:rsidTr="000B072C">
        <w:tc>
          <w:tcPr>
            <w:tcW w:w="9322" w:type="dxa"/>
            <w:gridSpan w:val="9"/>
            <w:shd w:val="clear" w:color="auto" w:fill="4F81BD"/>
            <w:vAlign w:val="center"/>
          </w:tcPr>
          <w:p w:rsidR="003B6E8D" w:rsidRPr="00810D5A" w:rsidRDefault="003B6E8D" w:rsidP="000B072C">
            <w:pPr>
              <w:spacing w:after="0"/>
              <w:contextualSpacing/>
              <w:jc w:val="center"/>
              <w:rPr>
                <w:rFonts w:asciiTheme="minorHAnsi" w:hAnsiTheme="minorHAnsi"/>
                <w:b/>
                <w:bCs/>
                <w:color w:val="FFFFFF" w:themeColor="background1"/>
              </w:rPr>
            </w:pPr>
            <w:r w:rsidRPr="00810D5A">
              <w:rPr>
                <w:rFonts w:asciiTheme="minorHAnsi" w:hAnsiTheme="minorHAnsi"/>
                <w:b/>
                <w:bCs/>
                <w:color w:val="FFFFFF" w:themeColor="background1"/>
              </w:rPr>
              <w:t>Gefahrenstoffe</w:t>
            </w:r>
          </w:p>
        </w:tc>
      </w:tr>
      <w:tr w:rsidR="003B6E8D" w:rsidRPr="00810D5A"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B6E8D" w:rsidRPr="00810D5A" w:rsidRDefault="003B6E8D" w:rsidP="000B072C">
            <w:pPr>
              <w:spacing w:after="0" w:line="276" w:lineRule="auto"/>
              <w:contextualSpacing/>
              <w:jc w:val="center"/>
              <w:rPr>
                <w:rFonts w:asciiTheme="minorHAnsi" w:hAnsiTheme="minorHAnsi"/>
                <w:b/>
                <w:bCs/>
              </w:rPr>
            </w:pPr>
            <w:r w:rsidRPr="00810D5A">
              <w:rPr>
                <w:rFonts w:asciiTheme="minorHAnsi" w:hAnsiTheme="minorHAnsi"/>
                <w:sz w:val="20"/>
              </w:rPr>
              <w:t>Pyrit</w:t>
            </w:r>
          </w:p>
        </w:tc>
        <w:tc>
          <w:tcPr>
            <w:tcW w:w="3177" w:type="dxa"/>
            <w:gridSpan w:val="3"/>
            <w:tcBorders>
              <w:top w:val="single" w:sz="8" w:space="0" w:color="4F81BD"/>
              <w:bottom w:val="single" w:sz="8" w:space="0" w:color="4F81BD"/>
            </w:tcBorders>
            <w:shd w:val="clear" w:color="auto" w:fill="auto"/>
            <w:vAlign w:val="center"/>
          </w:tcPr>
          <w:p w:rsidR="003B6E8D" w:rsidRPr="00810D5A" w:rsidRDefault="003B6E8D" w:rsidP="000B072C">
            <w:pPr>
              <w:spacing w:after="0"/>
              <w:contextualSpacing/>
              <w:jc w:val="center"/>
              <w:rPr>
                <w:rFonts w:asciiTheme="minorHAnsi" w:hAnsiTheme="minorHAnsi"/>
              </w:rPr>
            </w:pPr>
            <w:r w:rsidRPr="00810D5A">
              <w:rPr>
                <w:rFonts w:asciiTheme="minorHAnsi" w:hAnsiTheme="minorHAnsi"/>
                <w:sz w:val="20"/>
              </w:rPr>
              <w:t>H:270-319-330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B6E8D" w:rsidRPr="00810D5A" w:rsidRDefault="003B6E8D" w:rsidP="000B072C">
            <w:pPr>
              <w:spacing w:after="0"/>
              <w:contextualSpacing/>
              <w:jc w:val="center"/>
              <w:rPr>
                <w:rFonts w:asciiTheme="minorHAnsi" w:hAnsiTheme="minorHAnsi"/>
              </w:rPr>
            </w:pPr>
            <w:r w:rsidRPr="00810D5A">
              <w:rPr>
                <w:rFonts w:asciiTheme="minorHAnsi" w:hAnsiTheme="minorHAnsi"/>
                <w:sz w:val="20"/>
              </w:rPr>
              <w:t xml:space="preserve">P: </w:t>
            </w:r>
            <w:r w:rsidRPr="00810D5A">
              <w:rPr>
                <w:rFonts w:asciiTheme="minorHAnsi" w:hAnsiTheme="minorHAnsi"/>
              </w:rPr>
              <w:t>-</w:t>
            </w:r>
          </w:p>
        </w:tc>
      </w:tr>
      <w:tr w:rsidR="003B6E8D" w:rsidRPr="00810D5A" w:rsidTr="000B072C">
        <w:trPr>
          <w:trHeight w:val="434"/>
        </w:trPr>
        <w:tc>
          <w:tcPr>
            <w:tcW w:w="3027" w:type="dxa"/>
            <w:gridSpan w:val="3"/>
            <w:tcBorders>
              <w:bottom w:val="single" w:sz="4" w:space="0" w:color="8496B0" w:themeColor="text2" w:themeTint="99"/>
            </w:tcBorders>
            <w:shd w:val="clear" w:color="auto" w:fill="auto"/>
            <w:vAlign w:val="center"/>
          </w:tcPr>
          <w:p w:rsidR="003B6E8D" w:rsidRPr="00810D5A" w:rsidRDefault="003B6E8D" w:rsidP="000B072C">
            <w:pPr>
              <w:spacing w:after="0" w:line="276" w:lineRule="auto"/>
              <w:contextualSpacing/>
              <w:jc w:val="center"/>
              <w:rPr>
                <w:rFonts w:asciiTheme="minorHAnsi" w:hAnsiTheme="minorHAnsi"/>
                <w:bCs/>
                <w:sz w:val="20"/>
              </w:rPr>
            </w:pPr>
            <w:r w:rsidRPr="00810D5A">
              <w:rPr>
                <w:rFonts w:asciiTheme="minorHAnsi" w:hAnsiTheme="minorHAnsi"/>
                <w:color w:val="auto"/>
                <w:sz w:val="20"/>
                <w:szCs w:val="20"/>
              </w:rPr>
              <w:t>Universalindikator</w:t>
            </w:r>
          </w:p>
        </w:tc>
        <w:tc>
          <w:tcPr>
            <w:tcW w:w="3177" w:type="dxa"/>
            <w:gridSpan w:val="3"/>
            <w:tcBorders>
              <w:bottom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Pr>
                <w:rFonts w:asciiTheme="minorHAnsi" w:hAnsiTheme="minorHAnsi"/>
                <w:sz w:val="20"/>
              </w:rPr>
              <w:t>H:225</w:t>
            </w:r>
          </w:p>
        </w:tc>
        <w:tc>
          <w:tcPr>
            <w:tcW w:w="3118" w:type="dxa"/>
            <w:gridSpan w:val="3"/>
            <w:tcBorders>
              <w:bottom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7" w:anchor="P-S.C3.A4tze" w:tooltip="H- und P-Sätze" w:history="1">
              <w:r w:rsidRPr="00810D5A">
                <w:rPr>
                  <w:rStyle w:val="Hyperlink"/>
                  <w:rFonts w:asciiTheme="minorHAnsi" w:hAnsiTheme="minorHAnsi"/>
                  <w:sz w:val="20"/>
                </w:rPr>
                <w:t>2</w:t>
              </w:r>
            </w:hyperlink>
            <w:r w:rsidRPr="00810D5A">
              <w:rPr>
                <w:rStyle w:val="Hyperlink"/>
                <w:rFonts w:asciiTheme="minorHAnsi" w:hAnsiTheme="minorHAnsi"/>
                <w:sz w:val="20"/>
              </w:rPr>
              <w:t>10</w:t>
            </w:r>
            <w:r w:rsidRPr="00810D5A">
              <w:rPr>
                <w:rFonts w:asciiTheme="minorHAnsi" w:hAnsiTheme="minorHAnsi"/>
                <w:sz w:val="20"/>
              </w:rPr>
              <w:t>-​</w:t>
            </w:r>
            <w:hyperlink r:id="rId8" w:anchor="P-S.C3.A4tze" w:tooltip="H- und P-Sätze" w:history="1">
              <w:r>
                <w:rPr>
                  <w:rStyle w:val="Hyperlink"/>
                  <w:rFonts w:asciiTheme="minorHAnsi" w:hAnsiTheme="minorHAnsi"/>
                  <w:sz w:val="20"/>
                </w:rPr>
                <w:t>233</w:t>
              </w:r>
              <w:r w:rsidRPr="00810D5A">
                <w:rPr>
                  <w:rStyle w:val="Hyperlink"/>
                  <w:rFonts w:asciiTheme="minorHAnsi" w:hAnsiTheme="minorHAnsi"/>
                  <w:sz w:val="20"/>
                </w:rPr>
                <w:t>- 3</w:t>
              </w:r>
            </w:hyperlink>
            <w:r>
              <w:rPr>
                <w:rStyle w:val="Hyperlink"/>
                <w:rFonts w:asciiTheme="minorHAnsi" w:hAnsiTheme="minorHAnsi"/>
                <w:sz w:val="20"/>
              </w:rPr>
              <w:t>70+378a</w:t>
            </w:r>
            <w:r w:rsidRPr="00810D5A">
              <w:rPr>
                <w:rStyle w:val="Hyperlink"/>
                <w:rFonts w:asciiTheme="minorHAnsi" w:hAnsiTheme="minorHAnsi"/>
                <w:sz w:val="20"/>
              </w:rPr>
              <w:t>- 403</w:t>
            </w:r>
            <w:r>
              <w:rPr>
                <w:rStyle w:val="Hyperlink"/>
                <w:rFonts w:asciiTheme="minorHAnsi" w:hAnsiTheme="minorHAnsi"/>
                <w:sz w:val="20"/>
              </w:rPr>
              <w:t>+235</w:t>
            </w:r>
          </w:p>
        </w:tc>
      </w:tr>
      <w:tr w:rsidR="003B6E8D" w:rsidRPr="00810D5A" w:rsidTr="000B072C">
        <w:trPr>
          <w:trHeight w:val="434"/>
        </w:trPr>
        <w:tc>
          <w:tcPr>
            <w:tcW w:w="3027" w:type="dxa"/>
            <w:gridSpan w:val="3"/>
            <w:tcBorders>
              <w:top w:val="single" w:sz="4" w:space="0" w:color="8496B0" w:themeColor="text2" w:themeTint="99"/>
            </w:tcBorders>
            <w:shd w:val="clear" w:color="auto" w:fill="auto"/>
            <w:vAlign w:val="center"/>
          </w:tcPr>
          <w:p w:rsidR="003B6E8D" w:rsidRPr="00810D5A" w:rsidRDefault="003B6E8D" w:rsidP="000B072C">
            <w:pPr>
              <w:spacing w:after="0" w:line="276" w:lineRule="auto"/>
              <w:contextualSpacing/>
              <w:jc w:val="center"/>
              <w:rPr>
                <w:rFonts w:asciiTheme="minorHAnsi" w:hAnsiTheme="minorHAnsi"/>
                <w:color w:val="auto"/>
                <w:sz w:val="20"/>
                <w:szCs w:val="20"/>
              </w:rPr>
            </w:pPr>
            <w:proofErr w:type="spellStart"/>
            <w:r w:rsidRPr="00810D5A">
              <w:rPr>
                <w:rFonts w:asciiTheme="minorHAnsi" w:hAnsiTheme="minorHAnsi"/>
                <w:color w:val="auto"/>
                <w:sz w:val="20"/>
                <w:szCs w:val="20"/>
              </w:rPr>
              <w:t>konz</w:t>
            </w:r>
            <w:proofErr w:type="spellEnd"/>
            <w:r w:rsidRPr="00810D5A">
              <w:rPr>
                <w:rFonts w:asciiTheme="minorHAnsi" w:hAnsiTheme="minorHAnsi"/>
                <w:color w:val="auto"/>
                <w:sz w:val="20"/>
                <w:szCs w:val="20"/>
              </w:rPr>
              <w:t>. Schwefelsäure</w:t>
            </w:r>
          </w:p>
        </w:tc>
        <w:tc>
          <w:tcPr>
            <w:tcW w:w="3177" w:type="dxa"/>
            <w:gridSpan w:val="3"/>
            <w:tcBorders>
              <w:top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Pr>
                <w:rFonts w:asciiTheme="minorHAnsi" w:hAnsiTheme="minorHAnsi"/>
                <w:sz w:val="20"/>
              </w:rPr>
              <w:t>H:314</w:t>
            </w:r>
            <w:r w:rsidRPr="00810D5A">
              <w:rPr>
                <w:rFonts w:asciiTheme="minorHAnsi" w:hAnsiTheme="minorHAnsi"/>
                <w:sz w:val="20"/>
              </w:rPr>
              <w:t>-2</w:t>
            </w:r>
            <w:r>
              <w:rPr>
                <w:rFonts w:asciiTheme="minorHAnsi" w:hAnsiTheme="minorHAnsi"/>
                <w:sz w:val="20"/>
              </w:rPr>
              <w:t>9</w:t>
            </w:r>
            <w:r w:rsidRPr="00810D5A">
              <w:rPr>
                <w:rFonts w:asciiTheme="minorHAnsi" w:hAnsiTheme="minorHAnsi"/>
                <w:sz w:val="20"/>
              </w:rPr>
              <w:t>0</w:t>
            </w:r>
          </w:p>
        </w:tc>
        <w:tc>
          <w:tcPr>
            <w:tcW w:w="3118" w:type="dxa"/>
            <w:gridSpan w:val="3"/>
            <w:tcBorders>
              <w:top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sidRPr="00810D5A">
              <w:rPr>
                <w:rFonts w:asciiTheme="minorHAnsi" w:hAnsiTheme="minorHAnsi"/>
                <w:sz w:val="20"/>
              </w:rPr>
              <w:t>P</w:t>
            </w:r>
            <w:r>
              <w:rPr>
                <w:rFonts w:asciiTheme="minorHAnsi" w:hAnsiTheme="minorHAnsi"/>
                <w:sz w:val="20"/>
              </w:rPr>
              <w:t>: 280-301+330+331</w:t>
            </w:r>
            <w:r w:rsidRPr="00810D5A">
              <w:rPr>
                <w:rFonts w:asciiTheme="minorHAnsi" w:hAnsiTheme="minorHAnsi"/>
                <w:sz w:val="20"/>
              </w:rPr>
              <w:t>-30</w:t>
            </w:r>
            <w:r>
              <w:rPr>
                <w:rFonts w:asciiTheme="minorHAnsi" w:hAnsiTheme="minorHAnsi"/>
                <w:sz w:val="20"/>
              </w:rPr>
              <w:t>5+351</w:t>
            </w:r>
            <w:r w:rsidRPr="00810D5A">
              <w:rPr>
                <w:rFonts w:asciiTheme="minorHAnsi" w:hAnsiTheme="minorHAnsi"/>
                <w:sz w:val="20"/>
              </w:rPr>
              <w:t>+3</w:t>
            </w:r>
            <w:r>
              <w:rPr>
                <w:rFonts w:asciiTheme="minorHAnsi" w:hAnsiTheme="minorHAnsi"/>
                <w:sz w:val="20"/>
              </w:rPr>
              <w:t>38</w:t>
            </w:r>
            <w:r w:rsidRPr="00810D5A">
              <w:rPr>
                <w:rFonts w:asciiTheme="minorHAnsi" w:hAnsiTheme="minorHAnsi"/>
                <w:sz w:val="20"/>
              </w:rPr>
              <w:t>-</w:t>
            </w:r>
            <w:r>
              <w:rPr>
                <w:rFonts w:asciiTheme="minorHAnsi" w:hAnsiTheme="minorHAnsi"/>
                <w:sz w:val="20"/>
              </w:rPr>
              <w:t>309+310</w:t>
            </w:r>
          </w:p>
        </w:tc>
      </w:tr>
      <w:tr w:rsidR="003B6E8D" w:rsidRPr="00810D5A" w:rsidTr="000B072C">
        <w:trPr>
          <w:trHeight w:val="434"/>
        </w:trPr>
        <w:tc>
          <w:tcPr>
            <w:tcW w:w="3027" w:type="dxa"/>
            <w:gridSpan w:val="3"/>
            <w:tcBorders>
              <w:top w:val="single" w:sz="4" w:space="0" w:color="8496B0" w:themeColor="text2" w:themeTint="99"/>
            </w:tcBorders>
            <w:shd w:val="clear" w:color="auto" w:fill="auto"/>
            <w:vAlign w:val="center"/>
          </w:tcPr>
          <w:p w:rsidR="003B6E8D" w:rsidRPr="00810D5A" w:rsidRDefault="003B6E8D" w:rsidP="000B072C">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Mangan(IV)-oxid</w:t>
            </w:r>
          </w:p>
        </w:tc>
        <w:tc>
          <w:tcPr>
            <w:tcW w:w="3177" w:type="dxa"/>
            <w:gridSpan w:val="3"/>
            <w:tcBorders>
              <w:top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sidRPr="00810D5A">
              <w:rPr>
                <w:rFonts w:asciiTheme="minorHAnsi" w:hAnsiTheme="minorHAnsi"/>
                <w:sz w:val="20"/>
              </w:rPr>
              <w:t xml:space="preserve">H: </w:t>
            </w:r>
            <w:r>
              <w:rPr>
                <w:rFonts w:asciiTheme="minorHAnsi" w:hAnsiTheme="minorHAnsi"/>
                <w:sz w:val="20"/>
              </w:rPr>
              <w:t>272- 302+332</w:t>
            </w:r>
          </w:p>
        </w:tc>
        <w:tc>
          <w:tcPr>
            <w:tcW w:w="3118" w:type="dxa"/>
            <w:gridSpan w:val="3"/>
            <w:tcBorders>
              <w:top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sidRPr="00810D5A">
              <w:rPr>
                <w:rFonts w:asciiTheme="minorHAnsi" w:hAnsiTheme="minorHAnsi"/>
                <w:sz w:val="20"/>
              </w:rPr>
              <w:t>P</w:t>
            </w:r>
            <w:r>
              <w:rPr>
                <w:rFonts w:asciiTheme="minorHAnsi" w:hAnsiTheme="minorHAnsi"/>
                <w:sz w:val="20"/>
              </w:rPr>
              <w:t>: 221</w:t>
            </w:r>
          </w:p>
        </w:tc>
      </w:tr>
      <w:tr w:rsidR="003B6E8D" w:rsidRPr="00810D5A" w:rsidTr="000B072C">
        <w:trPr>
          <w:trHeight w:val="434"/>
        </w:trPr>
        <w:tc>
          <w:tcPr>
            <w:tcW w:w="3027" w:type="dxa"/>
            <w:gridSpan w:val="3"/>
            <w:tcBorders>
              <w:top w:val="single" w:sz="4" w:space="0" w:color="8496B0" w:themeColor="text2" w:themeTint="99"/>
            </w:tcBorders>
            <w:shd w:val="clear" w:color="auto" w:fill="auto"/>
            <w:vAlign w:val="center"/>
          </w:tcPr>
          <w:p w:rsidR="003B6E8D" w:rsidRPr="00810D5A" w:rsidRDefault="003B6E8D" w:rsidP="000B072C">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Glaswolle</w:t>
            </w:r>
          </w:p>
        </w:tc>
        <w:tc>
          <w:tcPr>
            <w:tcW w:w="3177" w:type="dxa"/>
            <w:gridSpan w:val="3"/>
            <w:tcBorders>
              <w:top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Pr>
                <w:rFonts w:asciiTheme="minorHAnsi" w:hAnsiTheme="minorHAnsi"/>
                <w:sz w:val="20"/>
              </w:rPr>
              <w:t>H: -</w:t>
            </w:r>
          </w:p>
        </w:tc>
        <w:tc>
          <w:tcPr>
            <w:tcW w:w="3118" w:type="dxa"/>
            <w:gridSpan w:val="3"/>
            <w:tcBorders>
              <w:top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Pr>
                <w:rFonts w:asciiTheme="minorHAnsi" w:hAnsiTheme="minorHAnsi"/>
                <w:sz w:val="20"/>
              </w:rPr>
              <w:t>P: -</w:t>
            </w:r>
          </w:p>
        </w:tc>
      </w:tr>
      <w:tr w:rsidR="003B6E8D" w:rsidRPr="00810D5A" w:rsidTr="000B072C">
        <w:trPr>
          <w:trHeight w:val="434"/>
        </w:trPr>
        <w:tc>
          <w:tcPr>
            <w:tcW w:w="3027" w:type="dxa"/>
            <w:gridSpan w:val="3"/>
            <w:tcBorders>
              <w:top w:val="single" w:sz="4" w:space="0" w:color="8496B0" w:themeColor="text2" w:themeTint="99"/>
            </w:tcBorders>
            <w:shd w:val="clear" w:color="auto" w:fill="auto"/>
            <w:vAlign w:val="center"/>
          </w:tcPr>
          <w:p w:rsidR="003B6E8D" w:rsidRPr="00810D5A" w:rsidRDefault="003B6E8D" w:rsidP="000B072C">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Schwefeldioxid</w:t>
            </w:r>
          </w:p>
        </w:tc>
        <w:tc>
          <w:tcPr>
            <w:tcW w:w="3177" w:type="dxa"/>
            <w:gridSpan w:val="3"/>
            <w:tcBorders>
              <w:top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Pr>
                <w:rFonts w:asciiTheme="minorHAnsi" w:hAnsiTheme="minorHAnsi"/>
                <w:sz w:val="20"/>
              </w:rPr>
              <w:t>H: 331- 314</w:t>
            </w:r>
          </w:p>
        </w:tc>
        <w:tc>
          <w:tcPr>
            <w:tcW w:w="3118" w:type="dxa"/>
            <w:gridSpan w:val="3"/>
            <w:tcBorders>
              <w:top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Pr>
                <w:rFonts w:asciiTheme="minorHAnsi" w:hAnsiTheme="minorHAnsi"/>
                <w:sz w:val="20"/>
              </w:rPr>
              <w:t>P: 260- 280- 304+340- 303+361+353- 305+351+338- 315- 405- 403</w:t>
            </w:r>
          </w:p>
        </w:tc>
      </w:tr>
      <w:tr w:rsidR="003B6E8D" w:rsidRPr="00810D5A" w:rsidTr="000B072C">
        <w:trPr>
          <w:trHeight w:val="434"/>
        </w:trPr>
        <w:tc>
          <w:tcPr>
            <w:tcW w:w="3027" w:type="dxa"/>
            <w:gridSpan w:val="3"/>
            <w:tcBorders>
              <w:top w:val="single" w:sz="4" w:space="0" w:color="8496B0" w:themeColor="text2" w:themeTint="99"/>
            </w:tcBorders>
            <w:shd w:val="clear" w:color="auto" w:fill="auto"/>
            <w:vAlign w:val="center"/>
          </w:tcPr>
          <w:p w:rsidR="003B6E8D" w:rsidRPr="00810D5A" w:rsidRDefault="003B6E8D" w:rsidP="000B072C">
            <w:pPr>
              <w:spacing w:after="0" w:line="276" w:lineRule="auto"/>
              <w:contextualSpacing/>
              <w:jc w:val="center"/>
              <w:rPr>
                <w:rFonts w:asciiTheme="minorHAnsi" w:hAnsiTheme="minorHAnsi"/>
                <w:color w:val="auto"/>
                <w:sz w:val="20"/>
                <w:szCs w:val="20"/>
              </w:rPr>
            </w:pPr>
            <w:proofErr w:type="spellStart"/>
            <w:r w:rsidRPr="00810D5A">
              <w:rPr>
                <w:rFonts w:asciiTheme="minorHAnsi" w:hAnsiTheme="minorHAnsi"/>
                <w:color w:val="auto"/>
                <w:sz w:val="20"/>
                <w:szCs w:val="20"/>
              </w:rPr>
              <w:t>Schwefeltrioxid</w:t>
            </w:r>
            <w:proofErr w:type="spellEnd"/>
          </w:p>
        </w:tc>
        <w:tc>
          <w:tcPr>
            <w:tcW w:w="3177" w:type="dxa"/>
            <w:gridSpan w:val="3"/>
            <w:tcBorders>
              <w:top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Pr>
                <w:rFonts w:asciiTheme="minorHAnsi" w:hAnsiTheme="minorHAnsi"/>
                <w:sz w:val="20"/>
              </w:rPr>
              <w:t>H: 314- 335</w:t>
            </w:r>
          </w:p>
        </w:tc>
        <w:tc>
          <w:tcPr>
            <w:tcW w:w="3118" w:type="dxa"/>
            <w:gridSpan w:val="3"/>
            <w:tcBorders>
              <w:top w:val="single" w:sz="4" w:space="0" w:color="8496B0" w:themeColor="text2" w:themeTint="99"/>
            </w:tcBorders>
            <w:shd w:val="clear" w:color="auto" w:fill="auto"/>
            <w:vAlign w:val="center"/>
          </w:tcPr>
          <w:p w:rsidR="003B6E8D" w:rsidRPr="00810D5A" w:rsidRDefault="003B6E8D" w:rsidP="000B072C">
            <w:pPr>
              <w:pStyle w:val="Beschriftung"/>
              <w:spacing w:after="0"/>
              <w:contextualSpacing/>
              <w:jc w:val="center"/>
              <w:rPr>
                <w:rFonts w:asciiTheme="minorHAnsi" w:hAnsiTheme="minorHAnsi"/>
                <w:sz w:val="20"/>
              </w:rPr>
            </w:pPr>
            <w:r>
              <w:rPr>
                <w:rFonts w:asciiTheme="minorHAnsi" w:hAnsiTheme="minorHAnsi"/>
                <w:sz w:val="20"/>
              </w:rPr>
              <w:t>P: -</w:t>
            </w:r>
          </w:p>
        </w:tc>
      </w:tr>
      <w:tr w:rsidR="003B6E8D" w:rsidRPr="00810D5A" w:rsidTr="000B072C">
        <w:tc>
          <w:tcPr>
            <w:tcW w:w="1009" w:type="dxa"/>
            <w:tcBorders>
              <w:top w:val="single" w:sz="8" w:space="0" w:color="4F81BD"/>
              <w:left w:val="single" w:sz="8" w:space="0" w:color="4F81BD"/>
              <w:bottom w:val="single" w:sz="8" w:space="0" w:color="4F81BD"/>
            </w:tcBorders>
            <w:shd w:val="clear" w:color="auto" w:fill="auto"/>
            <w:vAlign w:val="center"/>
          </w:tcPr>
          <w:p w:rsidR="003B6E8D" w:rsidRPr="00810D5A" w:rsidRDefault="003B6E8D" w:rsidP="000B072C">
            <w:pPr>
              <w:spacing w:after="0"/>
              <w:contextualSpacing/>
              <w:jc w:val="center"/>
              <w:rPr>
                <w:rFonts w:asciiTheme="minorHAnsi" w:hAnsiTheme="minorHAnsi"/>
                <w:b/>
                <w:bCs/>
              </w:rPr>
            </w:pPr>
            <w:r w:rsidRPr="00810D5A">
              <w:rPr>
                <w:rFonts w:asciiTheme="minorHAnsi" w:hAnsiTheme="minorHAnsi"/>
                <w:b/>
                <w:noProof/>
                <w:lang w:eastAsia="de-DE"/>
              </w:rPr>
              <w:drawing>
                <wp:inline distT="0" distB="0" distL="0" distR="0" wp14:anchorId="591ED40C" wp14:editId="0EB9A5DB">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B6E8D" w:rsidRPr="00810D5A" w:rsidRDefault="003B6E8D"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031C7FB4" wp14:editId="775BD841">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B6E8D" w:rsidRPr="00810D5A" w:rsidRDefault="003B6E8D"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19843AD7" wp14:editId="00D21304">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B6E8D" w:rsidRPr="00810D5A" w:rsidRDefault="003B6E8D"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163029D1" wp14:editId="50C0F498">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B6E8D" w:rsidRPr="00810D5A" w:rsidRDefault="003B6E8D"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15743D02" wp14:editId="27551FFD">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B6E8D" w:rsidRPr="00810D5A" w:rsidRDefault="003B6E8D"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07B8F179" wp14:editId="5D146A26">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B6E8D" w:rsidRPr="00810D5A" w:rsidRDefault="003B6E8D"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733920AC" wp14:editId="71A763C3">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B6E8D" w:rsidRPr="00810D5A" w:rsidRDefault="003B6E8D"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3DAB24A7" wp14:editId="69A9FB66">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B6E8D" w:rsidRPr="00810D5A" w:rsidRDefault="003B6E8D"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391E6500" wp14:editId="5E158EE2">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B6E8D" w:rsidRPr="00810D5A" w:rsidRDefault="003B6E8D" w:rsidP="003B6E8D">
      <w:pPr>
        <w:tabs>
          <w:tab w:val="left" w:pos="1701"/>
          <w:tab w:val="left" w:pos="1985"/>
        </w:tabs>
        <w:ind w:left="1980" w:hanging="1980"/>
        <w:contextualSpacing/>
        <w:rPr>
          <w:rFonts w:asciiTheme="minorHAnsi" w:hAnsiTheme="minorHAnsi"/>
        </w:rPr>
      </w:pPr>
    </w:p>
    <w:p w:rsidR="003B6E8D" w:rsidRPr="00810D5A" w:rsidRDefault="003B6E8D" w:rsidP="003B6E8D">
      <w:pPr>
        <w:tabs>
          <w:tab w:val="left" w:pos="1701"/>
          <w:tab w:val="left" w:pos="1985"/>
        </w:tabs>
        <w:ind w:left="1979" w:hanging="1979"/>
        <w:contextualSpacing/>
        <w:rPr>
          <w:rFonts w:asciiTheme="minorHAnsi" w:hAnsiTheme="minorHAnsi"/>
        </w:rPr>
      </w:pPr>
      <w:r w:rsidRPr="00810D5A">
        <w:rPr>
          <w:rFonts w:asciiTheme="minorHAnsi" w:hAnsiTheme="minorHAnsi"/>
        </w:rPr>
        <w:t xml:space="preserve">Materialien: </w:t>
      </w:r>
      <w:r w:rsidRPr="00810D5A">
        <w:rPr>
          <w:rFonts w:asciiTheme="minorHAnsi" w:hAnsiTheme="minorHAnsi"/>
        </w:rPr>
        <w:tab/>
      </w:r>
      <w:r w:rsidRPr="00810D5A">
        <w:rPr>
          <w:rFonts w:asciiTheme="minorHAnsi" w:hAnsiTheme="minorHAnsi"/>
        </w:rPr>
        <w:tab/>
        <w:t>Quarzrohr, durchbohrte Stopfen, Glasrohre, Waschflaschen, PVC-Schläuche, Wasserstrahlpumpe, Stativmaterialien, Tiegel in Schiffchenform, 2 Gasbrenner</w:t>
      </w:r>
      <w:r>
        <w:rPr>
          <w:rFonts w:asciiTheme="minorHAnsi" w:hAnsiTheme="minorHAnsi"/>
        </w:rPr>
        <w:br/>
      </w:r>
    </w:p>
    <w:p w:rsidR="003B6E8D" w:rsidRDefault="003B6E8D" w:rsidP="003B6E8D">
      <w:pPr>
        <w:tabs>
          <w:tab w:val="left" w:pos="1701"/>
          <w:tab w:val="left" w:pos="1985"/>
        </w:tabs>
        <w:ind w:left="1980" w:hanging="1980"/>
        <w:contextualSpacing/>
        <w:rPr>
          <w:rFonts w:asciiTheme="minorHAnsi" w:hAnsiTheme="minorHAnsi"/>
        </w:rPr>
      </w:pPr>
      <w:r w:rsidRPr="00810D5A">
        <w:rPr>
          <w:rFonts w:asciiTheme="minorHAnsi" w:hAnsiTheme="minorHAnsi"/>
        </w:rPr>
        <w:t>Chemikalien:</w:t>
      </w:r>
      <w:r w:rsidRPr="00810D5A">
        <w:rPr>
          <w:rFonts w:asciiTheme="minorHAnsi" w:hAnsiTheme="minorHAnsi"/>
        </w:rPr>
        <w:tab/>
      </w:r>
      <w:r w:rsidRPr="00810D5A">
        <w:rPr>
          <w:rFonts w:asciiTheme="minorHAnsi" w:hAnsiTheme="minorHAnsi"/>
        </w:rPr>
        <w:tab/>
      </w:r>
      <w:proofErr w:type="spellStart"/>
      <w:r w:rsidRPr="00810D5A">
        <w:rPr>
          <w:rFonts w:asciiTheme="minorHAnsi" w:hAnsiTheme="minorHAnsi"/>
        </w:rPr>
        <w:t>konz</w:t>
      </w:r>
      <w:proofErr w:type="spellEnd"/>
      <w:r w:rsidRPr="00810D5A">
        <w:rPr>
          <w:rFonts w:asciiTheme="minorHAnsi" w:hAnsiTheme="minorHAnsi"/>
        </w:rPr>
        <w:t xml:space="preserve">. Schwefelsäure, Mangan(IV)-oxid, </w:t>
      </w:r>
      <w:proofErr w:type="spellStart"/>
      <w:r w:rsidRPr="00810D5A">
        <w:rPr>
          <w:rFonts w:asciiTheme="minorHAnsi" w:hAnsiTheme="minorHAnsi"/>
        </w:rPr>
        <w:t>dest</w:t>
      </w:r>
      <w:proofErr w:type="spellEnd"/>
      <w:r w:rsidRPr="00810D5A">
        <w:rPr>
          <w:rFonts w:asciiTheme="minorHAnsi" w:hAnsiTheme="minorHAnsi"/>
        </w:rPr>
        <w:t>. Wasser, Pyrit</w:t>
      </w:r>
    </w:p>
    <w:p w:rsidR="003B6E8D" w:rsidRPr="00810D5A" w:rsidRDefault="003B6E8D" w:rsidP="003B6E8D">
      <w:pPr>
        <w:tabs>
          <w:tab w:val="left" w:pos="1701"/>
          <w:tab w:val="left" w:pos="1985"/>
        </w:tabs>
        <w:ind w:left="1980" w:hanging="1980"/>
        <w:contextualSpacing/>
        <w:rPr>
          <w:rFonts w:asciiTheme="minorHAnsi" w:hAnsiTheme="minorHAnsi"/>
        </w:rPr>
      </w:pPr>
    </w:p>
    <w:p w:rsidR="003B6E8D" w:rsidRPr="00810D5A" w:rsidRDefault="003B6E8D" w:rsidP="003B6E8D">
      <w:pPr>
        <w:tabs>
          <w:tab w:val="left" w:pos="1701"/>
          <w:tab w:val="left" w:pos="1985"/>
        </w:tabs>
        <w:ind w:left="1980" w:hanging="1980"/>
        <w:contextualSpacing/>
        <w:rPr>
          <w:rFonts w:asciiTheme="minorHAnsi" w:hAnsiTheme="minorHAnsi"/>
        </w:rPr>
      </w:pPr>
      <w:r w:rsidRPr="00810D5A">
        <w:rPr>
          <w:rFonts w:asciiTheme="minorHAnsi" w:hAnsiTheme="minorHAnsi"/>
        </w:rPr>
        <w:t xml:space="preserve">Durchführung: </w:t>
      </w:r>
      <w:r w:rsidRPr="00810D5A">
        <w:rPr>
          <w:rFonts w:asciiTheme="minorHAnsi" w:hAnsiTheme="minorHAnsi"/>
        </w:rPr>
        <w:tab/>
      </w:r>
      <w:r w:rsidRPr="00810D5A">
        <w:rPr>
          <w:rFonts w:asciiTheme="minorHAnsi" w:hAnsiTheme="minorHAnsi"/>
        </w:rPr>
        <w:tab/>
      </w:r>
      <w:r w:rsidRPr="00810D5A">
        <w:rPr>
          <w:rFonts w:asciiTheme="minorHAnsi" w:hAnsiTheme="minorHAnsi"/>
        </w:rPr>
        <w:tab/>
        <w:t>Etwa in der Mitte des Quarzrohres wird ein Stück Glaswolle platziert, die eine Seite wird mit etwa 10 g Mangan(IV)-oxid befüllt und mit einem weiteren Stück Glaswolle verschlossen. Das Glasrohr wird auf zwei Stativklemmen gelegt, aber nicht fest eingespannt. Der Pyrit wird auf einen Tiegel in Schiffchenform gegeben, dieser wird in der linken Seite des Quarzrohres platziert. Di</w:t>
      </w:r>
      <w:r>
        <w:rPr>
          <w:rFonts w:asciiTheme="minorHAnsi" w:hAnsiTheme="minorHAnsi"/>
        </w:rPr>
        <w:t>e Apparatur wird gemäß Abb.1</w:t>
      </w:r>
      <w:r w:rsidRPr="00810D5A">
        <w:rPr>
          <w:rFonts w:asciiTheme="minorHAnsi" w:hAnsiTheme="minorHAnsi"/>
        </w:rPr>
        <w:t xml:space="preserve"> aufgebaut. Anschließend wird der Pyrit und das Mangan(IV)-oxid bis zur Rotglut erhitzt. Sobald ein rotes Glühen auftritt wird die </w:t>
      </w:r>
      <w:r w:rsidRPr="00810D5A">
        <w:rPr>
          <w:rFonts w:asciiTheme="minorHAnsi" w:hAnsiTheme="minorHAnsi"/>
        </w:rPr>
        <w:lastRenderedPageBreak/>
        <w:t xml:space="preserve">Wasserstrahlpumpe geöffnet und eine Sogwirkung erzeugt. Dabei sollte eine Strömungsgeschwindigkeit </w:t>
      </w:r>
      <w:r>
        <w:rPr>
          <w:rFonts w:asciiTheme="minorHAnsi" w:hAnsiTheme="minorHAnsi"/>
        </w:rPr>
        <w:t>von etwa 5-7 Bläschen pro Sekunde</w:t>
      </w:r>
      <w:r w:rsidRPr="00810D5A">
        <w:rPr>
          <w:rFonts w:asciiTheme="minorHAnsi" w:hAnsiTheme="minorHAnsi"/>
        </w:rPr>
        <w:t xml:space="preserve"> in den Waschflaschen zu sehen sein.</w:t>
      </w:r>
    </w:p>
    <w:p w:rsidR="003B6E8D" w:rsidRPr="00810D5A" w:rsidRDefault="003B6E8D" w:rsidP="003B6E8D">
      <w:pPr>
        <w:tabs>
          <w:tab w:val="left" w:pos="1701"/>
          <w:tab w:val="left" w:pos="1985"/>
        </w:tabs>
        <w:ind w:left="1980" w:hanging="1980"/>
        <w:contextualSpacing/>
        <w:rPr>
          <w:rFonts w:asciiTheme="minorHAnsi" w:hAnsiTheme="minorHAnsi"/>
        </w:rPr>
      </w:pPr>
      <w:r w:rsidRPr="00810D5A">
        <w:rPr>
          <w:rFonts w:asciiTheme="minorHAnsi" w:hAnsiTheme="minorHAnsi"/>
          <w:noProof/>
          <w:lang w:eastAsia="de-DE"/>
        </w:rPr>
        <w:drawing>
          <wp:anchor distT="0" distB="0" distL="114300" distR="114300" simplePos="0" relativeHeight="251660288" behindDoc="0" locked="0" layoutInCell="1" allowOverlap="1" wp14:anchorId="7C1764CA" wp14:editId="2882A0C8">
            <wp:simplePos x="0" y="0"/>
            <wp:positionH relativeFrom="margin">
              <wp:align>right</wp:align>
            </wp:positionH>
            <wp:positionV relativeFrom="paragraph">
              <wp:posOffset>496191</wp:posOffset>
            </wp:positionV>
            <wp:extent cx="6029960" cy="1594485"/>
            <wp:effectExtent l="0" t="0" r="8890" b="5715"/>
            <wp:wrapTopAndBottom/>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029960" cy="1594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10D5A">
        <w:rPr>
          <w:rFonts w:asciiTheme="minorHAnsi" w:hAnsiTheme="minorHAnsi"/>
        </w:rPr>
        <w:t>Beobachtung:</w:t>
      </w:r>
      <w:r w:rsidRPr="00810D5A">
        <w:rPr>
          <w:rFonts w:asciiTheme="minorHAnsi" w:hAnsiTheme="minorHAnsi"/>
        </w:rPr>
        <w:tab/>
      </w:r>
      <w:r w:rsidRPr="00810D5A">
        <w:rPr>
          <w:rFonts w:asciiTheme="minorHAnsi" w:hAnsiTheme="minorHAnsi"/>
        </w:rPr>
        <w:tab/>
        <w:t>Die beiden Feststoffe glühen rot. Die</w:t>
      </w:r>
      <w:r>
        <w:rPr>
          <w:rFonts w:asciiTheme="minorHAnsi" w:hAnsiTheme="minorHAnsi"/>
        </w:rPr>
        <w:t xml:space="preserve"> Lösung der</w:t>
      </w:r>
      <w:r w:rsidRPr="00810D5A">
        <w:rPr>
          <w:rFonts w:asciiTheme="minorHAnsi" w:hAnsiTheme="minorHAnsi"/>
        </w:rPr>
        <w:t xml:space="preserve"> erste</w:t>
      </w:r>
      <w:r>
        <w:rPr>
          <w:rFonts w:asciiTheme="minorHAnsi" w:hAnsiTheme="minorHAnsi"/>
        </w:rPr>
        <w:t>n</w:t>
      </w:r>
      <w:r w:rsidRPr="00810D5A">
        <w:rPr>
          <w:rFonts w:asciiTheme="minorHAnsi" w:hAnsiTheme="minorHAnsi"/>
        </w:rPr>
        <w:t xml:space="preserve"> Flasche färbt sich von gelb zu rot.</w:t>
      </w:r>
    </w:p>
    <w:p w:rsidR="003B6E8D" w:rsidRPr="00810D5A" w:rsidRDefault="003B6E8D" w:rsidP="003B6E8D">
      <w:pPr>
        <w:pStyle w:val="Beschriftung"/>
        <w:contextualSpacing/>
        <w:jc w:val="center"/>
        <w:rPr>
          <w:rFonts w:asciiTheme="minorHAnsi" w:hAnsiTheme="minorHAnsi"/>
        </w:rPr>
      </w:pPr>
      <w:r w:rsidRPr="00810D5A">
        <w:rPr>
          <w:rFonts w:asciiTheme="minorHAnsi" w:hAnsiTheme="minorHAnsi"/>
        </w:rPr>
        <w:t xml:space="preserve">Abb. </w:t>
      </w:r>
      <w:r w:rsidRPr="00810D5A">
        <w:rPr>
          <w:rFonts w:asciiTheme="minorHAnsi" w:hAnsiTheme="minorHAnsi"/>
        </w:rPr>
        <w:fldChar w:fldCharType="begin"/>
      </w:r>
      <w:r w:rsidRPr="00810D5A">
        <w:rPr>
          <w:rFonts w:asciiTheme="minorHAnsi" w:hAnsiTheme="minorHAnsi"/>
        </w:rPr>
        <w:instrText xml:space="preserve"> SEQ Abb. \* ARABIC </w:instrText>
      </w:r>
      <w:r w:rsidRPr="00810D5A">
        <w:rPr>
          <w:rFonts w:asciiTheme="minorHAnsi" w:hAnsiTheme="minorHAnsi"/>
        </w:rPr>
        <w:fldChar w:fldCharType="separate"/>
      </w:r>
      <w:r w:rsidR="00FE7E33">
        <w:rPr>
          <w:rFonts w:asciiTheme="minorHAnsi" w:hAnsiTheme="minorHAnsi"/>
          <w:noProof/>
        </w:rPr>
        <w:t>1</w:t>
      </w:r>
      <w:r w:rsidRPr="00810D5A">
        <w:rPr>
          <w:rFonts w:asciiTheme="minorHAnsi" w:hAnsiTheme="minorHAnsi"/>
          <w:noProof/>
        </w:rPr>
        <w:fldChar w:fldCharType="end"/>
      </w:r>
      <w:r w:rsidRPr="00810D5A">
        <w:rPr>
          <w:rFonts w:asciiTheme="minorHAnsi" w:hAnsiTheme="minorHAnsi"/>
        </w:rPr>
        <w:t xml:space="preserve"> –Versuchsaufbau für die Herstellung von Schwefelsäure über das Kontaktverfahren.</w:t>
      </w:r>
      <w:r w:rsidRPr="00810D5A">
        <w:rPr>
          <w:rFonts w:asciiTheme="minorHAnsi" w:hAnsiTheme="minorHAnsi"/>
          <w:noProof/>
        </w:rPr>
        <w:t>.</w:t>
      </w:r>
    </w:p>
    <w:p w:rsidR="003B6E8D" w:rsidRPr="00810D5A" w:rsidRDefault="003B6E8D" w:rsidP="003B6E8D">
      <w:pPr>
        <w:tabs>
          <w:tab w:val="left" w:pos="1701"/>
          <w:tab w:val="left" w:pos="1985"/>
        </w:tabs>
        <w:ind w:left="1985" w:hanging="2127"/>
        <w:contextualSpacing/>
        <w:rPr>
          <w:rFonts w:asciiTheme="minorHAnsi" w:hAnsiTheme="minorHAnsi"/>
        </w:rPr>
      </w:pPr>
      <w:r w:rsidRPr="00810D5A">
        <w:rPr>
          <w:rFonts w:asciiTheme="minorHAnsi" w:hAnsiTheme="minorHAnsi"/>
        </w:rPr>
        <w:t>Deutung:</w:t>
      </w:r>
      <w:r w:rsidRPr="00810D5A">
        <w:rPr>
          <w:rFonts w:asciiTheme="minorHAnsi" w:hAnsiTheme="minorHAnsi"/>
        </w:rPr>
        <w:tab/>
      </w:r>
      <w:r w:rsidRPr="00810D5A">
        <w:rPr>
          <w:rFonts w:asciiTheme="minorHAnsi" w:hAnsiTheme="minorHAnsi"/>
        </w:rPr>
        <w:tab/>
        <w:t>Der Pyrit wird durch das Erhitzen oxidiert:</w:t>
      </w:r>
    </w:p>
    <w:p w:rsidR="003B6E8D" w:rsidRPr="00810D5A" w:rsidRDefault="003B6E8D" w:rsidP="003B6E8D">
      <w:pPr>
        <w:tabs>
          <w:tab w:val="left" w:pos="1701"/>
          <w:tab w:val="left" w:pos="1985"/>
        </w:tabs>
        <w:ind w:left="1985" w:hanging="2124"/>
        <w:contextualSpacing/>
        <w:rPr>
          <w:rFonts w:asciiTheme="minorHAnsi" w:eastAsiaTheme="minorEastAsia" w:hAnsiTheme="minorHAnsi"/>
        </w:rPr>
      </w:pPr>
      <m:oMathPara>
        <m:oMath>
          <m:r>
            <m:rPr>
              <m:sty m:val="p"/>
            </m:rPr>
            <w:rPr>
              <w:rFonts w:ascii="Cambria Math" w:eastAsiaTheme="minorEastAsia" w:hAnsi="Cambria Math"/>
            </w:rPr>
            <m:t xml:space="preserve">4 </m:t>
          </m:r>
          <m:sSub>
            <m:sSubPr>
              <m:ctrlPr>
                <w:rPr>
                  <w:rFonts w:ascii="Cambria Math" w:eastAsiaTheme="minorEastAsia" w:hAnsi="Cambria Math"/>
                </w:rPr>
              </m:ctrlPr>
            </m:sSubPr>
            <m:e>
              <m:r>
                <m:rPr>
                  <m:sty m:val="p"/>
                </m:rPr>
                <w:rPr>
                  <w:rFonts w:ascii="Cambria Math" w:eastAsiaTheme="minorEastAsia" w:hAnsi="Cambria Math"/>
                </w:rPr>
                <m:t>FeS</m:t>
              </m:r>
            </m:e>
            <m:sub>
              <m:r>
                <m:rPr>
                  <m:sty m:val="p"/>
                </m:rPr>
                <w:rPr>
                  <w:rFonts w:ascii="Cambria Math" w:eastAsiaTheme="minorEastAsia" w:hAnsi="Cambria Math"/>
                </w:rPr>
                <m:t>2(s)</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11 O</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8 SO</m:t>
              </m:r>
            </m:e>
            <m:sub>
              <m:r>
                <m:rPr>
                  <m:sty m:val="p"/>
                </m:rPr>
                <w:rPr>
                  <w:rFonts w:ascii="Cambria Math" w:eastAsiaTheme="minorEastAsia" w:hAnsi="Cambria Math"/>
                </w:rPr>
                <m:t>2(g)</m:t>
              </m:r>
            </m:sub>
          </m:sSub>
          <m:r>
            <m:rPr>
              <m:sty m:val="p"/>
            </m:rPr>
            <w:rPr>
              <w:rFonts w:ascii="Cambria Math" w:eastAsiaTheme="minorEastAsia" w:hAnsi="Cambria Math"/>
            </w:rPr>
            <m:t xml:space="preserve">+2 </m:t>
          </m:r>
          <m:sSub>
            <m:sSubPr>
              <m:ctrlPr>
                <w:rPr>
                  <w:rFonts w:ascii="Cambria Math" w:eastAsiaTheme="minorEastAsia" w:hAnsi="Cambria Math"/>
                </w:rPr>
              </m:ctrlPr>
            </m:sSubPr>
            <m:e>
              <m:r>
                <m:rPr>
                  <m:sty m:val="p"/>
                </m:rPr>
                <w:rPr>
                  <w:rFonts w:ascii="Cambria Math" w:eastAsiaTheme="minorEastAsia" w:hAnsi="Cambria Math"/>
                </w:rPr>
                <m:t>Fe</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3(s)</m:t>
              </m:r>
            </m:sub>
          </m:sSub>
        </m:oMath>
      </m:oMathPara>
    </w:p>
    <w:p w:rsidR="003B6E8D" w:rsidRPr="00810D5A" w:rsidRDefault="003B6E8D" w:rsidP="003B6E8D">
      <w:pPr>
        <w:tabs>
          <w:tab w:val="left" w:pos="1701"/>
          <w:tab w:val="left" w:pos="1985"/>
        </w:tabs>
        <w:ind w:left="1985" w:hanging="1985"/>
        <w:contextualSpacing/>
        <w:rPr>
          <w:rFonts w:asciiTheme="minorHAnsi" w:hAnsiTheme="minorHAnsi"/>
        </w:rPr>
      </w:pPr>
      <w:r w:rsidRPr="00810D5A">
        <w:rPr>
          <w:rFonts w:asciiTheme="minorHAnsi" w:hAnsiTheme="minorHAnsi"/>
        </w:rPr>
        <w:tab/>
      </w:r>
      <w:r w:rsidRPr="00810D5A">
        <w:rPr>
          <w:rFonts w:asciiTheme="minorHAnsi" w:hAnsiTheme="minorHAnsi"/>
        </w:rPr>
        <w:tab/>
        <w:t xml:space="preserve">Durch das angeschlossene Vakuum wird das entstehende Schwefeldioxid durch die Versuchsapparatur gesogen. Das glühende Mangan(IV)-Oxid dient als Katalysator für eine Oxidation des Schwefeldioxids zu </w:t>
      </w:r>
      <w:proofErr w:type="spellStart"/>
      <w:r w:rsidRPr="00810D5A">
        <w:rPr>
          <w:rFonts w:asciiTheme="minorHAnsi" w:hAnsiTheme="minorHAnsi"/>
        </w:rPr>
        <w:t>Schwefeltrioxid</w:t>
      </w:r>
      <w:proofErr w:type="spellEnd"/>
      <w:r w:rsidRPr="00810D5A">
        <w:rPr>
          <w:rFonts w:asciiTheme="minorHAnsi" w:hAnsiTheme="minorHAnsi"/>
        </w:rPr>
        <w:t>:</w:t>
      </w:r>
    </w:p>
    <w:p w:rsidR="003B6E8D" w:rsidRPr="00810D5A" w:rsidRDefault="004E7143" w:rsidP="003B6E8D">
      <w:pPr>
        <w:tabs>
          <w:tab w:val="left" w:pos="1701"/>
          <w:tab w:val="left" w:pos="1985"/>
        </w:tabs>
        <w:ind w:left="2124" w:hanging="2124"/>
        <w:contextualSpacing/>
        <w:rPr>
          <w:rFonts w:asciiTheme="minorHAnsi" w:eastAsiaTheme="minorEastAsia" w:hAnsiTheme="minorHAnsi"/>
          <w:iCs/>
        </w:rPr>
      </w:pPr>
      <m:oMathPara>
        <m:oMath>
          <m:sSub>
            <m:sSubPr>
              <m:ctrlPr>
                <w:rPr>
                  <w:rFonts w:ascii="Cambria Math" w:eastAsiaTheme="minorEastAsia" w:hAnsi="Cambria Math"/>
                  <w:iCs/>
                </w:rPr>
              </m:ctrlPr>
            </m:sSubPr>
            <m:e>
              <m:r>
                <m:rPr>
                  <m:sty m:val="p"/>
                </m:rPr>
                <w:rPr>
                  <w:rFonts w:ascii="Cambria Math" w:eastAsiaTheme="minorEastAsia" w:hAnsi="Cambria Math"/>
                </w:rPr>
                <m:t>2 SO</m:t>
              </m:r>
            </m:e>
            <m:sub>
              <m:r>
                <m:rPr>
                  <m:sty m:val="p"/>
                </m:rP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 xml:space="preserve">→2 </m:t>
          </m:r>
          <m:sSub>
            <m:sSubPr>
              <m:ctrlPr>
                <w:rPr>
                  <w:rFonts w:ascii="Cambria Math" w:eastAsiaTheme="minorEastAsia" w:hAnsi="Cambria Math"/>
                  <w:iCs/>
                </w:rPr>
              </m:ctrlPr>
            </m:sSubPr>
            <m:e>
              <m:r>
                <m:rPr>
                  <m:sty m:val="p"/>
                </m:rPr>
                <w:rPr>
                  <w:rFonts w:ascii="Cambria Math" w:eastAsiaTheme="minorEastAsia" w:hAnsi="Cambria Math"/>
                </w:rPr>
                <m:t>SO</m:t>
              </m:r>
            </m:e>
            <m:sub>
              <m:r>
                <m:rPr>
                  <m:sty m:val="p"/>
                </m:rPr>
                <w:rPr>
                  <w:rFonts w:ascii="Cambria Math" w:eastAsiaTheme="minorEastAsia" w:hAnsi="Cambria Math"/>
                </w:rPr>
                <m:t>3</m:t>
              </m:r>
              <m:d>
                <m:dPr>
                  <m:ctrlPr>
                    <w:rPr>
                      <w:rFonts w:ascii="Cambria Math" w:eastAsiaTheme="minorEastAsia" w:hAnsi="Cambria Math"/>
                    </w:rPr>
                  </m:ctrlPr>
                </m:dPr>
                <m:e>
                  <m:r>
                    <m:rPr>
                      <m:sty m:val="p"/>
                    </m:rPr>
                    <w:rPr>
                      <w:rFonts w:ascii="Cambria Math" w:eastAsiaTheme="minorEastAsia" w:hAnsi="Cambria Math"/>
                    </w:rPr>
                    <m:t>g</m:t>
                  </m:r>
                </m:e>
              </m:d>
            </m:sub>
          </m:sSub>
        </m:oMath>
      </m:oMathPara>
    </w:p>
    <w:p w:rsidR="003B6E8D" w:rsidRDefault="003B6E8D" w:rsidP="003B6E8D">
      <w:pPr>
        <w:spacing w:line="276" w:lineRule="auto"/>
        <w:ind w:left="1985" w:hanging="1985"/>
        <w:contextualSpacing/>
        <w:rPr>
          <w:rFonts w:asciiTheme="minorHAnsi" w:hAnsiTheme="minorHAnsi"/>
        </w:rPr>
      </w:pPr>
      <w:r w:rsidRPr="00810D5A">
        <w:rPr>
          <w:rFonts w:asciiTheme="minorHAnsi" w:hAnsiTheme="minorHAnsi"/>
        </w:rPr>
        <w:tab/>
      </w:r>
      <w:r>
        <w:rPr>
          <w:rFonts w:asciiTheme="minorHAnsi" w:hAnsiTheme="minorHAnsi"/>
        </w:rPr>
        <w:t xml:space="preserve">Das </w:t>
      </w:r>
      <w:proofErr w:type="spellStart"/>
      <w:r>
        <w:rPr>
          <w:rFonts w:asciiTheme="minorHAnsi" w:hAnsiTheme="minorHAnsi"/>
        </w:rPr>
        <w:t>Schwefeltrioxid</w:t>
      </w:r>
      <w:proofErr w:type="spellEnd"/>
      <w:r>
        <w:rPr>
          <w:rFonts w:asciiTheme="minorHAnsi" w:hAnsiTheme="minorHAnsi"/>
        </w:rPr>
        <w:t xml:space="preserve"> löst sich in dem destillierten Wasser, bei dieser Reaktion entsteht Schwefelsäure:</w:t>
      </w:r>
    </w:p>
    <w:p w:rsidR="003B6E8D" w:rsidRPr="002818E2" w:rsidRDefault="004E7143" w:rsidP="003B6E8D">
      <w:pPr>
        <w:tabs>
          <w:tab w:val="left" w:pos="1701"/>
          <w:tab w:val="left" w:pos="1985"/>
        </w:tabs>
        <w:ind w:left="2124" w:hanging="2124"/>
        <w:contextualSpacing/>
        <w:rPr>
          <w:rFonts w:asciiTheme="minorHAnsi" w:eastAsiaTheme="minorEastAsia" w:hAnsiTheme="minorHAnsi"/>
          <w:iCs/>
        </w:rPr>
      </w:pPr>
      <m:oMathPara>
        <m:oMath>
          <m:sSub>
            <m:sSubPr>
              <m:ctrlPr>
                <w:rPr>
                  <w:rFonts w:ascii="Cambria Math" w:eastAsiaTheme="minorEastAsia" w:hAnsi="Cambria Math"/>
                  <w:iCs/>
                </w:rPr>
              </m:ctrlPr>
            </m:sSubPr>
            <m:e>
              <m:r>
                <m:rPr>
                  <m:sty m:val="p"/>
                </m:rPr>
                <w:rPr>
                  <w:rFonts w:ascii="Cambria Math" w:eastAsiaTheme="minorEastAsia" w:hAnsi="Cambria Math"/>
                </w:rPr>
                <m:t xml:space="preserve"> SO</m:t>
              </m:r>
            </m:e>
            <m:sub>
              <m:r>
                <m:rPr>
                  <m:sty m:val="p"/>
                </m:rPr>
                <w:rPr>
                  <w:rFonts w:ascii="Cambria Math" w:eastAsiaTheme="minorEastAsia" w:hAnsi="Cambria Math"/>
                </w:rPr>
                <m:t>3</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sub>
              <m:d>
                <m:dPr>
                  <m:ctrlPr>
                    <w:rPr>
                      <w:rFonts w:ascii="Cambria Math" w:eastAsiaTheme="minorEastAsia" w:hAnsi="Cambria Math"/>
                    </w:rPr>
                  </m:ctrlPr>
                </m:dPr>
                <m:e>
                  <m:r>
                    <m:rPr>
                      <m:sty m:val="p"/>
                    </m:rPr>
                    <w:rPr>
                      <w:rFonts w:ascii="Cambria Math" w:eastAsiaTheme="minorEastAsia" w:hAnsi="Cambria Math"/>
                    </w:rPr>
                    <m:t>l</m:t>
                  </m:r>
                </m:e>
              </m:d>
            </m:sub>
          </m:sSub>
          <m:r>
            <m:rPr>
              <m:sty m:val="p"/>
            </m:rPr>
            <w:rPr>
              <w:rFonts w:ascii="Cambria Math" w:eastAsiaTheme="minorEastAsia" w:hAnsi="Cambria Math"/>
            </w:rPr>
            <m:t xml:space="preserve">→ </m:t>
          </m:r>
          <m:sSub>
            <m:sSubPr>
              <m:ctrlPr>
                <w:rPr>
                  <w:rFonts w:ascii="Cambria Math" w:eastAsiaTheme="minorEastAsia" w:hAnsi="Cambria Math"/>
                  <w:iCs/>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SO</m:t>
              </m:r>
            </m:e>
            <m:sub>
              <m:r>
                <m:rPr>
                  <m:sty m:val="p"/>
                </m:rPr>
                <w:rPr>
                  <w:rFonts w:ascii="Cambria Math" w:eastAsiaTheme="minorEastAsia" w:hAnsi="Cambria Math"/>
                </w:rPr>
                <m:t>4</m:t>
              </m:r>
              <m:d>
                <m:dPr>
                  <m:ctrlPr>
                    <w:rPr>
                      <w:rFonts w:ascii="Cambria Math" w:eastAsiaTheme="minorEastAsia" w:hAnsi="Cambria Math"/>
                    </w:rPr>
                  </m:ctrlPr>
                </m:dPr>
                <m:e>
                  <m:r>
                    <m:rPr>
                      <m:sty m:val="p"/>
                    </m:rPr>
                    <w:rPr>
                      <w:rFonts w:ascii="Cambria Math" w:eastAsiaTheme="minorEastAsia" w:hAnsi="Cambria Math"/>
                    </w:rPr>
                    <m:t>aq</m:t>
                  </m:r>
                </m:e>
              </m:d>
            </m:sub>
          </m:sSub>
        </m:oMath>
      </m:oMathPara>
    </w:p>
    <w:p w:rsidR="003B6E8D" w:rsidRDefault="003B6E8D" w:rsidP="003B6E8D">
      <w:pPr>
        <w:spacing w:line="276" w:lineRule="auto"/>
        <w:ind w:left="1985" w:hanging="1985"/>
        <w:contextualSpacing/>
        <w:rPr>
          <w:rFonts w:asciiTheme="minorHAnsi" w:hAnsiTheme="minorHAnsi"/>
        </w:rPr>
      </w:pPr>
      <w:r>
        <w:rPr>
          <w:rFonts w:asciiTheme="minorHAnsi" w:hAnsiTheme="minorHAnsi"/>
        </w:rPr>
        <w:tab/>
        <w:t>Durch die Entstehung der Schwefelsäure werden H</w:t>
      </w:r>
      <w:r>
        <w:rPr>
          <w:rFonts w:asciiTheme="minorHAnsi" w:hAnsiTheme="minorHAnsi"/>
          <w:vertAlign w:val="superscript"/>
        </w:rPr>
        <w:t>+</w:t>
      </w:r>
      <w:r>
        <w:rPr>
          <w:rFonts w:asciiTheme="minorHAnsi" w:hAnsiTheme="minorHAnsi"/>
        </w:rPr>
        <w:t>-Ionen dissoziiert. Diese reagieren mit dem Indikator:</w:t>
      </w:r>
    </w:p>
    <w:p w:rsidR="003B6E8D" w:rsidRPr="002818E2" w:rsidRDefault="004E7143" w:rsidP="003B6E8D">
      <w:pPr>
        <w:spacing w:line="276" w:lineRule="auto"/>
        <w:ind w:left="1985" w:hanging="1985"/>
        <w:contextualSpacing/>
        <w:rPr>
          <w:rFonts w:asciiTheme="minorHAnsi" w:eastAsiaTheme="minorEastAsia" w:hAnsiTheme="minorHAnsi"/>
        </w:rPr>
      </w:pPr>
      <m:oMathPara>
        <m:oMath>
          <m:sSubSup>
            <m:sSubSupPr>
              <m:ctrlPr>
                <w:rPr>
                  <w:rFonts w:ascii="Cambria Math" w:hAnsi="Cambria Math"/>
                  <w:i/>
                </w:rPr>
              </m:ctrlPr>
            </m:sSubSupPr>
            <m:e>
              <m:r>
                <w:rPr>
                  <w:rFonts w:ascii="Cambria Math" w:hAnsi="Cambria Math"/>
                </w:rPr>
                <m:t>H</m:t>
              </m:r>
            </m:e>
            <m:sub>
              <m:d>
                <m:dPr>
                  <m:ctrlPr>
                    <w:rPr>
                      <w:rFonts w:ascii="Cambria Math" w:hAnsi="Cambria Math"/>
                      <w:i/>
                    </w:rPr>
                  </m:ctrlPr>
                </m:dPr>
                <m:e>
                  <m:r>
                    <w:rPr>
                      <w:rFonts w:ascii="Cambria Math" w:hAnsi="Cambria Math"/>
                    </w:rPr>
                    <m:t>aq</m:t>
                  </m:r>
                </m:e>
              </m:d>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Ind</m:t>
              </m:r>
            </m:e>
            <m:sub>
              <m:d>
                <m:dPr>
                  <m:ctrlPr>
                    <w:rPr>
                      <w:rFonts w:ascii="Cambria Math" w:hAnsi="Cambria Math"/>
                      <w:i/>
                    </w:rPr>
                  </m:ctrlPr>
                </m:dPr>
                <m:e>
                  <m:r>
                    <w:rPr>
                      <w:rFonts w:ascii="Cambria Math" w:hAnsi="Cambria Math"/>
                    </w:rPr>
                    <m:t>aq</m:t>
                  </m:r>
                </m:e>
              </m:d>
            </m:sub>
          </m:sSub>
          <m:box>
            <m:boxPr>
              <m:opEmu m:val="1"/>
              <m:ctrlPr>
                <w:rPr>
                  <w:rFonts w:ascii="Cambria Math" w:hAnsi="Cambria Math"/>
                  <w:i/>
                </w:rPr>
              </m:ctrlPr>
            </m:boxPr>
            <m:e>
              <m:groupChr>
                <m:groupChrPr>
                  <m:chr m:val="→"/>
                  <m:vertJc m:val="bot"/>
                  <m:ctrlPr>
                    <w:rPr>
                      <w:rFonts w:ascii="Cambria Math" w:hAnsi="Cambria Math"/>
                      <w:i/>
                    </w:rPr>
                  </m:ctrlPr>
                </m:groupChrPr>
                <m:e/>
              </m:groupChr>
            </m:e>
          </m:box>
          <m:sSub>
            <m:sSubPr>
              <m:ctrlPr>
                <w:rPr>
                  <w:rFonts w:ascii="Cambria Math" w:hAnsi="Cambria Math"/>
                  <w:i/>
                </w:rPr>
              </m:ctrlPr>
            </m:sSubPr>
            <m:e>
              <m:r>
                <w:rPr>
                  <w:rFonts w:ascii="Cambria Math" w:hAnsi="Cambria Math"/>
                </w:rPr>
                <m:t>HInd</m:t>
              </m:r>
            </m:e>
            <m:sub>
              <m:d>
                <m:dPr>
                  <m:ctrlPr>
                    <w:rPr>
                      <w:rFonts w:ascii="Cambria Math" w:hAnsi="Cambria Math"/>
                      <w:i/>
                    </w:rPr>
                  </m:ctrlPr>
                </m:dPr>
                <m:e>
                  <m:r>
                    <w:rPr>
                      <w:rFonts w:ascii="Cambria Math" w:hAnsi="Cambria Math"/>
                    </w:rPr>
                    <m:t>aq</m:t>
                  </m:r>
                </m:e>
              </m:d>
            </m:sub>
          </m:sSub>
        </m:oMath>
      </m:oMathPara>
    </w:p>
    <w:p w:rsidR="003B6E8D" w:rsidRDefault="003B6E8D" w:rsidP="003B6E8D">
      <w:pPr>
        <w:spacing w:line="276" w:lineRule="auto"/>
        <w:ind w:left="1985" w:hanging="1985"/>
        <w:contextualSpacing/>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gelb</w:t>
      </w:r>
      <w:r>
        <w:rPr>
          <w:rFonts w:asciiTheme="minorHAnsi" w:hAnsiTheme="minorHAnsi"/>
        </w:rPr>
        <w:tab/>
        <w:t xml:space="preserve">        rot</w:t>
      </w:r>
    </w:p>
    <w:p w:rsidR="003B6E8D" w:rsidRDefault="003B6E8D" w:rsidP="003B6E8D">
      <w:pPr>
        <w:spacing w:line="276" w:lineRule="auto"/>
        <w:ind w:left="1985" w:hanging="1985"/>
        <w:contextualSpacing/>
        <w:rPr>
          <w:rFonts w:asciiTheme="minorHAnsi" w:hAnsiTheme="minorHAnsi"/>
        </w:rPr>
      </w:pPr>
      <w:r w:rsidRPr="00810D5A">
        <w:rPr>
          <w:rFonts w:asciiTheme="minorHAnsi" w:hAnsiTheme="minorHAnsi"/>
        </w:rPr>
        <w:t>Entsorgung:</w:t>
      </w:r>
      <w:r w:rsidRPr="00810D5A">
        <w:rPr>
          <w:rFonts w:asciiTheme="minorHAnsi" w:hAnsiTheme="minorHAnsi"/>
        </w:rPr>
        <w:tab/>
      </w:r>
      <w:r>
        <w:rPr>
          <w:rFonts w:asciiTheme="minorHAnsi" w:hAnsiTheme="minorHAnsi"/>
        </w:rPr>
        <w:t>Die konzentrierte Schwefelsäure wird zusammen mit der selbsthergestellten Schwefelsäure in ein Gefäß gegeben und in diesem neutralisiert. Anschließend kann die neutrale Lösung über den Ausguss entsorgt werden</w:t>
      </w:r>
      <w:r w:rsidRPr="00810D5A">
        <w:rPr>
          <w:rFonts w:asciiTheme="minorHAnsi" w:hAnsiTheme="minorHAnsi"/>
        </w:rPr>
        <w:t>.</w:t>
      </w:r>
      <w:r>
        <w:rPr>
          <w:rFonts w:asciiTheme="minorHAnsi" w:hAnsiTheme="minorHAnsi"/>
        </w:rPr>
        <w:t xml:space="preserve"> Das restliche Pyrit und das entstandene Eisen(III)-Oxid werden in den Feststoffabfall gegeben, Mangan(IV)-Oxid wird in HCl-</w:t>
      </w:r>
      <w:proofErr w:type="spellStart"/>
      <w:r>
        <w:rPr>
          <w:rFonts w:asciiTheme="minorHAnsi" w:hAnsiTheme="minorHAnsi"/>
        </w:rPr>
        <w:t>Lsg</w:t>
      </w:r>
      <w:proofErr w:type="spellEnd"/>
      <w:r>
        <w:rPr>
          <w:rFonts w:asciiTheme="minorHAnsi" w:hAnsiTheme="minorHAnsi"/>
        </w:rPr>
        <w:t xml:space="preserve"> gelöst und anschließend in den Schwermetallabfall gegeben.</w:t>
      </w:r>
    </w:p>
    <w:p w:rsidR="003B6E8D" w:rsidRPr="00810D5A" w:rsidRDefault="003B6E8D" w:rsidP="003B6E8D">
      <w:pPr>
        <w:spacing w:line="276" w:lineRule="auto"/>
        <w:ind w:left="1985" w:hanging="1985"/>
        <w:contextualSpacing/>
        <w:rPr>
          <w:rFonts w:asciiTheme="minorHAnsi" w:hAnsiTheme="minorHAnsi"/>
        </w:rPr>
      </w:pPr>
      <w:r>
        <w:rPr>
          <w:rFonts w:asciiTheme="minorHAnsi" w:hAnsiTheme="minorHAnsi"/>
        </w:rPr>
        <w:tab/>
      </w:r>
    </w:p>
    <w:p w:rsidR="003B6E8D" w:rsidRPr="00810D5A" w:rsidRDefault="003B6E8D" w:rsidP="003B6E8D">
      <w:pPr>
        <w:spacing w:line="276" w:lineRule="auto"/>
        <w:ind w:left="1985" w:hanging="1980"/>
        <w:contextualSpacing/>
        <w:jc w:val="left"/>
        <w:rPr>
          <w:rFonts w:asciiTheme="minorHAnsi" w:hAnsiTheme="minorHAnsi"/>
          <w:b/>
        </w:rPr>
      </w:pPr>
      <w:r w:rsidRPr="00810D5A">
        <w:rPr>
          <w:rFonts w:asciiTheme="minorHAnsi" w:hAnsiTheme="minorHAnsi"/>
        </w:rPr>
        <w:t>Literatur:</w:t>
      </w:r>
      <w:r w:rsidRPr="00810D5A">
        <w:rPr>
          <w:rFonts w:asciiTheme="minorHAnsi" w:hAnsiTheme="minorHAnsi"/>
        </w:rPr>
        <w:tab/>
      </w:r>
      <w:r>
        <w:rPr>
          <w:rFonts w:asciiTheme="minorHAnsi" w:hAnsiTheme="minorHAnsi"/>
        </w:rPr>
        <w:t>[1] K</w:t>
      </w:r>
      <w:r w:rsidRPr="00810D5A">
        <w:rPr>
          <w:rFonts w:asciiTheme="minorHAnsi" w:hAnsiTheme="minorHAnsi"/>
        </w:rPr>
        <w:t xml:space="preserve">. </w:t>
      </w:r>
      <w:r>
        <w:rPr>
          <w:rFonts w:asciiTheme="minorHAnsi" w:hAnsiTheme="minorHAnsi"/>
        </w:rPr>
        <w:t>Freytag/V. Scharf, et al.</w:t>
      </w:r>
      <w:r w:rsidRPr="00810D5A">
        <w:rPr>
          <w:rFonts w:asciiTheme="minorHAnsi" w:hAnsiTheme="minorHAnsi"/>
        </w:rPr>
        <w:t xml:space="preserve">, </w:t>
      </w:r>
      <w:r>
        <w:rPr>
          <w:rFonts w:asciiTheme="minorHAnsi" w:hAnsiTheme="minorHAnsi"/>
        </w:rPr>
        <w:t>Handbuch des Chemieunterrichts Sekundarbereich Band 4/I: Säuren – Basen/Laugen, 2008, S.89</w:t>
      </w:r>
    </w:p>
    <w:p w:rsidR="00D73F5D" w:rsidRPr="003B6E8D" w:rsidRDefault="003B6E8D" w:rsidP="003B6E8D">
      <w:pPr>
        <w:tabs>
          <w:tab w:val="left" w:pos="1701"/>
          <w:tab w:val="left" w:pos="1985"/>
        </w:tabs>
        <w:ind w:left="1980" w:hanging="1980"/>
        <w:contextualSpacing/>
        <w:rPr>
          <w:rFonts w:asciiTheme="minorHAnsi" w:hAnsiTheme="minorHAnsi"/>
        </w:rPr>
      </w:pPr>
      <w:r w:rsidRPr="00810D5A">
        <w:rPr>
          <w:rFonts w:asciiTheme="minorHAnsi" w:hAnsiTheme="minorHAnsi"/>
          <w:noProof/>
          <w:lang w:eastAsia="de-DE"/>
        </w:rPr>
        <mc:AlternateContent>
          <mc:Choice Requires="wps">
            <w:drawing>
              <wp:anchor distT="0" distB="0" distL="114300" distR="114300" simplePos="0" relativeHeight="251661312" behindDoc="0" locked="0" layoutInCell="1" allowOverlap="1" wp14:anchorId="365ED4D3" wp14:editId="6F177705">
                <wp:simplePos x="0" y="0"/>
                <wp:positionH relativeFrom="margin">
                  <wp:align>left</wp:align>
                </wp:positionH>
                <wp:positionV relativeFrom="paragraph">
                  <wp:posOffset>221539</wp:posOffset>
                </wp:positionV>
                <wp:extent cx="5873115" cy="781050"/>
                <wp:effectExtent l="0" t="0" r="13335" b="19050"/>
                <wp:wrapTopAndBottom/>
                <wp:docPr id="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10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6E8D" w:rsidRPr="00F31EBF" w:rsidRDefault="003B6E8D" w:rsidP="003B6E8D">
                            <w:pPr>
                              <w:rPr>
                                <w:color w:val="auto"/>
                              </w:rPr>
                            </w:pPr>
                            <w:r w:rsidRPr="00F31EBF">
                              <w:rPr>
                                <w:b/>
                                <w:color w:val="auto"/>
                              </w:rPr>
                              <w:t>Unterrichtsanschlüsse</w:t>
                            </w:r>
                            <w:r>
                              <w:rPr>
                                <w:b/>
                                <w:color w:val="auto"/>
                              </w:rPr>
                              <w:t>:</w:t>
                            </w:r>
                            <w:r w:rsidRPr="00F31EBF">
                              <w:rPr>
                                <w:b/>
                                <w:color w:val="auto"/>
                              </w:rPr>
                              <w:t xml:space="preserve"> </w:t>
                            </w:r>
                            <w:r>
                              <w:rPr>
                                <w:color w:val="auto"/>
                              </w:rPr>
                              <w:t>Der Versuch kann zu Beginn der Unterrichtseinheit von Säure-Base-Konzepten durchgeführt werden</w:t>
                            </w:r>
                            <w:r w:rsidRPr="00F31EBF">
                              <w:rPr>
                                <w:color w:val="auto"/>
                              </w:rPr>
                              <w:t>.</w:t>
                            </w:r>
                            <w:r>
                              <w:rPr>
                                <w:color w:val="auto"/>
                              </w:rPr>
                              <w:t xml:space="preserve"> In diesem Zusammenhang kann auf die industrielle Herstellung von Schwefelsäure verwiesen werden.</w:t>
                            </w:r>
                          </w:p>
                        </w:txbxContent>
                      </wps:txbx>
                      <wps:bodyPr rot="0" vert="horz" wrap="square" lIns="91440" tIns="45720" rIns="91440" bIns="45720" anchor="t" anchorCtr="0" upright="1">
                        <a:noAutofit/>
                      </wps:bodyPr>
                    </wps:wsp>
                  </a:graphicData>
                </a:graphic>
              </wp:anchor>
            </w:drawing>
          </mc:Choice>
          <mc:Fallback>
            <w:pict>
              <v:shape w14:anchorId="365ED4D3" id="Text Box 131" o:spid="_x0000_s1027" type="#_x0000_t202" style="position:absolute;left:0;text-align:left;margin-left:0;margin-top:17.45pt;width:462.45pt;height:61.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" fillcolor="white [3201]" strokecolor="#ed7d31 [3205]" strokeweight="1pt">
                <v:stroke dashstyle="dash"/>
                <v:shadow color="#868686"/>
                <v:textbox>
                  <w:txbxContent>
                    <w:p w:rsidR="003B6E8D" w:rsidRPr="00F31EBF" w:rsidRDefault="003B6E8D" w:rsidP="003B6E8D">
                      <w:pPr>
                        <w:rPr>
                          <w:color w:val="auto"/>
                        </w:rPr>
                      </w:pPr>
                      <w:r w:rsidRPr="00F31EBF">
                        <w:rPr>
                          <w:b/>
                          <w:color w:val="auto"/>
                        </w:rPr>
                        <w:t>Unterrichtsanschlüsse</w:t>
                      </w:r>
                      <w:r>
                        <w:rPr>
                          <w:b/>
                          <w:color w:val="auto"/>
                        </w:rPr>
                        <w:t>:</w:t>
                      </w:r>
                      <w:r w:rsidRPr="00F31EBF">
                        <w:rPr>
                          <w:b/>
                          <w:color w:val="auto"/>
                        </w:rPr>
                        <w:t xml:space="preserve"> </w:t>
                      </w:r>
                      <w:r>
                        <w:rPr>
                          <w:color w:val="auto"/>
                        </w:rPr>
                        <w:t>Der Versuch kann zu Beginn der Unterrichtseinheit von Säure-Base-Konzepten durchgeführt werden</w:t>
                      </w:r>
                      <w:r w:rsidRPr="00F31EBF">
                        <w:rPr>
                          <w:color w:val="auto"/>
                        </w:rPr>
                        <w:t>.</w:t>
                      </w:r>
                      <w:r>
                        <w:rPr>
                          <w:color w:val="auto"/>
                        </w:rPr>
                        <w:t xml:space="preserve"> In diesem Zusammenhang kann auf die industrielle Herstellung von Schwefelsäure verwiesen werden.</w:t>
                      </w:r>
                    </w:p>
                  </w:txbxContent>
                </v:textbox>
                <w10:wrap type="topAndBottom" anchorx="margin"/>
              </v:shape>
            </w:pict>
          </mc:Fallback>
        </mc:AlternateContent>
      </w:r>
    </w:p>
    <w:sectPr w:rsidR="00D73F5D" w:rsidRPr="003B6E8D">
      <w:footerReference w:type="defaul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143" w:rsidRDefault="004E7143">
      <w:pPr>
        <w:spacing w:after="0" w:line="240" w:lineRule="auto"/>
      </w:pPr>
      <w:r>
        <w:separator/>
      </w:r>
    </w:p>
  </w:endnote>
  <w:endnote w:type="continuationSeparator" w:id="0">
    <w:p w:rsidR="004E7143" w:rsidRDefault="004E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3B6E8D">
        <w:pPr>
          <w:pStyle w:val="Fuzeile"/>
          <w:jc w:val="center"/>
        </w:pPr>
        <w:r>
          <w:fldChar w:fldCharType="begin"/>
        </w:r>
        <w:r>
          <w:instrText>PAGE   \* MERGEFORMAT</w:instrText>
        </w:r>
        <w:r>
          <w:fldChar w:fldCharType="separate"/>
        </w:r>
        <w:r w:rsidR="00FE7E33">
          <w:rPr>
            <w:noProof/>
          </w:rPr>
          <w:t>2</w:t>
        </w:r>
        <w:r>
          <w:fldChar w:fldCharType="end"/>
        </w:r>
      </w:p>
    </w:sdtContent>
  </w:sdt>
  <w:p w:rsidR="0099183C" w:rsidRDefault="004E714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4E7143">
    <w:pPr>
      <w:pStyle w:val="Fuzeile"/>
      <w:jc w:val="center"/>
    </w:pPr>
  </w:p>
  <w:p w:rsidR="0099183C" w:rsidRDefault="004E714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143" w:rsidRDefault="004E7143">
      <w:pPr>
        <w:spacing w:after="0" w:line="240" w:lineRule="auto"/>
      </w:pPr>
      <w:r>
        <w:separator/>
      </w:r>
    </w:p>
  </w:footnote>
  <w:footnote w:type="continuationSeparator" w:id="0">
    <w:p w:rsidR="004E7143" w:rsidRDefault="004E7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D7C6E50"/>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525D8E"/>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083A16"/>
    <w:rsid w:val="001C7E4D"/>
    <w:rsid w:val="00240CE2"/>
    <w:rsid w:val="003143CC"/>
    <w:rsid w:val="0037579F"/>
    <w:rsid w:val="003B6E8D"/>
    <w:rsid w:val="003D42D3"/>
    <w:rsid w:val="004E7143"/>
    <w:rsid w:val="005D72E7"/>
    <w:rsid w:val="00611594"/>
    <w:rsid w:val="007D4813"/>
    <w:rsid w:val="008F5648"/>
    <w:rsid w:val="00980F3F"/>
    <w:rsid w:val="00A3064F"/>
    <w:rsid w:val="00C20C1B"/>
    <w:rsid w:val="00C443B4"/>
    <w:rsid w:val="00C563E6"/>
    <w:rsid w:val="00D73F5D"/>
    <w:rsid w:val="00E46847"/>
    <w:rsid w:val="00FE7E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paragraph" w:styleId="berschrift3">
    <w:name w:val="heading 3"/>
    <w:basedOn w:val="Standard"/>
    <w:next w:val="Standard"/>
    <w:link w:val="berschrift3Zchn"/>
    <w:uiPriority w:val="9"/>
    <w:unhideWhenUsed/>
    <w:qFormat/>
    <w:rsid w:val="00980F3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0F3F"/>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0F3F"/>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0F3F"/>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0F3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0F3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0F3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 w:type="character" w:customStyle="1" w:styleId="berschrift3Zchn">
    <w:name w:val="Überschrift 3 Zchn"/>
    <w:basedOn w:val="Absatz-Standardschriftart"/>
    <w:link w:val="berschrift3"/>
    <w:uiPriority w:val="9"/>
    <w:rsid w:val="00980F3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80F3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80F3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80F3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80F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0F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0F3F"/>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Absatz-Standardschriftart"/>
    <w:rsid w:val="0037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e.wikipedia.org/wiki/H-_und_P-S%C3%A4tze"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4</cp:revision>
  <cp:lastPrinted>2016-08-11T06:35:00Z</cp:lastPrinted>
  <dcterms:created xsi:type="dcterms:W3CDTF">2016-08-09T06:52:00Z</dcterms:created>
  <dcterms:modified xsi:type="dcterms:W3CDTF">2016-08-11T06:35:00Z</dcterms:modified>
</cp:coreProperties>
</file>