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58093657"/>
    <w:bookmarkStart w:id="1" w:name="_GoBack"/>
    <w:bookmarkEnd w:id="1"/>
    <w:p w:rsidR="001C518C" w:rsidRPr="00810D5A" w:rsidRDefault="001C518C" w:rsidP="001C518C">
      <w:pPr>
        <w:pStyle w:val="berschrift2"/>
        <w:contextualSpacing/>
        <w:rPr>
          <w:rFonts w:asciiTheme="minorHAnsi" w:hAnsiTheme="minorHAnsi"/>
        </w:rPr>
      </w:pPr>
      <w:r w:rsidRPr="00810D5A">
        <w:rPr>
          <w:rFonts w:asciiTheme="minorHAnsi" w:hAnsiTheme="minorHAnsi"/>
          <w:noProof/>
          <w:lang w:eastAsia="de-DE"/>
        </w:rPr>
        <mc:AlternateContent>
          <mc:Choice Requires="wps">
            <w:drawing>
              <wp:anchor distT="0" distB="0" distL="114300" distR="114300" simplePos="0" relativeHeight="251659264" behindDoc="0" locked="0" layoutInCell="1" allowOverlap="1" wp14:anchorId="05A34622" wp14:editId="63C64777">
                <wp:simplePos x="0" y="0"/>
                <wp:positionH relativeFrom="margin">
                  <wp:align>left</wp:align>
                </wp:positionH>
                <wp:positionV relativeFrom="paragraph">
                  <wp:posOffset>284480</wp:posOffset>
                </wp:positionV>
                <wp:extent cx="5873115" cy="1009650"/>
                <wp:effectExtent l="0" t="0" r="13335" b="19050"/>
                <wp:wrapSquare wrapText="bothSides"/>
                <wp:docPr id="5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96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C518C" w:rsidRPr="00F31EBF" w:rsidRDefault="001C518C" w:rsidP="001C518C">
                            <w:pPr>
                              <w:rPr>
                                <w:color w:val="auto"/>
                              </w:rPr>
                            </w:pPr>
                            <w:r>
                              <w:rPr>
                                <w:color w:val="auto"/>
                              </w:rPr>
                              <w:t xml:space="preserve">Die </w:t>
                            </w:r>
                            <w:proofErr w:type="spellStart"/>
                            <w:r>
                              <w:rPr>
                                <w:color w:val="auto"/>
                              </w:rPr>
                              <w:t>SuS</w:t>
                            </w:r>
                            <w:proofErr w:type="spellEnd"/>
                            <w:r>
                              <w:rPr>
                                <w:color w:val="auto"/>
                              </w:rPr>
                              <w:t xml:space="preserve"> kennen bereits das Säure-Base-Konzept von Arrhenius und bestätigen dies zunächst in dem ersten Versuchsteil. Im zweiten Versuchsteil entsteht durch den sauren und alkalischen Charakter der Lösungen ein kognitiver Konflikt, der genutzt werden kann, um auf das Säure-Base-Konzept von </w:t>
                            </w:r>
                            <w:proofErr w:type="spellStart"/>
                            <w:r>
                              <w:rPr>
                                <w:color w:val="auto"/>
                              </w:rPr>
                              <w:t>Brönsted</w:t>
                            </w:r>
                            <w:proofErr w:type="spellEnd"/>
                            <w:r>
                              <w:rPr>
                                <w:color w:val="auto"/>
                              </w:rPr>
                              <w:t xml:space="preserve"> hinzuleiten.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A34622" id="_x0000_t202" coordsize="21600,21600" o:spt="202" path="m,l,21600r21600,l21600,xe">
                <v:stroke joinstyle="miter"/>
                <v:path gradientshapeok="t" o:connecttype="rect"/>
              </v:shapetype>
              <v:shape id="Text Box 136" o:spid="_x0000_s1026" type="#_x0000_t202" style="position:absolute;left:0;text-align:left;margin-left:0;margin-top:22.4pt;width:462.45pt;height:7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" fillcolor="white [3201]" strokecolor="#4472c4 [3208]" strokeweight="1pt">
                <v:stroke dashstyle="dash"/>
                <v:shadow color="#868686"/>
                <v:textbox>
                  <w:txbxContent>
                    <w:p w:rsidR="001C518C" w:rsidRPr="00F31EBF" w:rsidRDefault="001C518C" w:rsidP="001C518C">
                      <w:pPr>
                        <w:rPr>
                          <w:color w:val="auto"/>
                        </w:rPr>
                      </w:pPr>
                      <w:r>
                        <w:rPr>
                          <w:color w:val="auto"/>
                        </w:rPr>
                        <w:t xml:space="preserve">Die </w:t>
                      </w:r>
                      <w:proofErr w:type="spellStart"/>
                      <w:r>
                        <w:rPr>
                          <w:color w:val="auto"/>
                        </w:rPr>
                        <w:t>SuS</w:t>
                      </w:r>
                      <w:proofErr w:type="spellEnd"/>
                      <w:r>
                        <w:rPr>
                          <w:color w:val="auto"/>
                        </w:rPr>
                        <w:t xml:space="preserve"> kennen bereits das Säure-Base-Konzept von Arrhenius und bestätigen dies zunächst in dem ersten Versuchsteil. Im zweiten Versuchsteil entsteht durch den sauren und alkalischen Charakter der Lösungen ein kognitiver Konflikt, der genutzt werden kann, um auf das Säure-Base-Konzept von </w:t>
                      </w:r>
                      <w:proofErr w:type="spellStart"/>
                      <w:r>
                        <w:rPr>
                          <w:color w:val="auto"/>
                        </w:rPr>
                        <w:t>Brönsted</w:t>
                      </w:r>
                      <w:proofErr w:type="spellEnd"/>
                      <w:r>
                        <w:rPr>
                          <w:color w:val="auto"/>
                        </w:rPr>
                        <w:t xml:space="preserve"> hinzuleiten.</w:t>
                      </w:r>
                    </w:p>
                  </w:txbxContent>
                </v:textbox>
                <w10:wrap type="square" anchorx="margin"/>
              </v:shape>
            </w:pict>
          </mc:Fallback>
        </mc:AlternateContent>
      </w:r>
      <w:r>
        <w:rPr>
          <w:rFonts w:asciiTheme="minorHAnsi" w:hAnsiTheme="minorHAnsi"/>
        </w:rPr>
        <w:t>V3 Säure</w:t>
      </w:r>
      <w:r w:rsidR="00E4511E">
        <w:rPr>
          <w:rFonts w:asciiTheme="minorHAnsi" w:hAnsiTheme="minorHAnsi"/>
        </w:rPr>
        <w:t>-</w:t>
      </w:r>
      <w:r>
        <w:rPr>
          <w:rFonts w:asciiTheme="minorHAnsi" w:hAnsiTheme="minorHAnsi"/>
        </w:rPr>
        <w:t xml:space="preserve"> und </w:t>
      </w:r>
      <w:proofErr w:type="spellStart"/>
      <w:r>
        <w:rPr>
          <w:rFonts w:asciiTheme="minorHAnsi" w:hAnsiTheme="minorHAnsi"/>
        </w:rPr>
        <w:t>Baseeigenschaften</w:t>
      </w:r>
      <w:proofErr w:type="spellEnd"/>
      <w:r>
        <w:rPr>
          <w:rFonts w:asciiTheme="minorHAnsi" w:hAnsiTheme="minorHAnsi"/>
        </w:rPr>
        <w:t xml:space="preserve"> nach Arrhenius und </w:t>
      </w:r>
      <w:proofErr w:type="spellStart"/>
      <w:r>
        <w:rPr>
          <w:rFonts w:asciiTheme="minorHAnsi" w:hAnsiTheme="minorHAnsi"/>
        </w:rPr>
        <w:t>Brönsted</w:t>
      </w:r>
      <w:bookmarkEnd w:id="0"/>
      <w:proofErr w:type="spellEnd"/>
    </w:p>
    <w:p w:rsidR="001C518C" w:rsidRPr="00810D5A" w:rsidRDefault="001C518C" w:rsidP="001C518C">
      <w:pPr>
        <w:pStyle w:val="berschrift2"/>
        <w:contextualSpacing/>
        <w:rPr>
          <w:rFonts w:asciiTheme="minorHAnsi" w:hAnsiTheme="min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C518C" w:rsidRPr="00810D5A" w:rsidTr="000B072C">
        <w:tc>
          <w:tcPr>
            <w:tcW w:w="9322" w:type="dxa"/>
            <w:gridSpan w:val="9"/>
            <w:shd w:val="clear" w:color="auto" w:fill="4F81BD"/>
            <w:vAlign w:val="center"/>
          </w:tcPr>
          <w:p w:rsidR="001C518C" w:rsidRPr="00810D5A" w:rsidRDefault="001C518C" w:rsidP="000B072C">
            <w:pPr>
              <w:spacing w:after="0"/>
              <w:contextualSpacing/>
              <w:jc w:val="center"/>
              <w:rPr>
                <w:rFonts w:asciiTheme="minorHAnsi" w:hAnsiTheme="minorHAnsi"/>
                <w:b/>
                <w:bCs/>
                <w:color w:val="FFFFFF" w:themeColor="background1"/>
              </w:rPr>
            </w:pPr>
            <w:r w:rsidRPr="00810D5A">
              <w:rPr>
                <w:rFonts w:asciiTheme="minorHAnsi" w:hAnsiTheme="minorHAnsi"/>
                <w:b/>
                <w:bCs/>
                <w:color w:val="FFFFFF" w:themeColor="background1"/>
              </w:rPr>
              <w:t>Gefahrenstoffe</w:t>
            </w:r>
          </w:p>
        </w:tc>
      </w:tr>
      <w:tr w:rsidR="001C518C" w:rsidRPr="00810D5A" w:rsidTr="000B0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C518C" w:rsidRPr="00810D5A" w:rsidRDefault="001C518C" w:rsidP="000B072C">
            <w:pPr>
              <w:spacing w:after="0" w:line="276" w:lineRule="auto"/>
              <w:contextualSpacing/>
              <w:jc w:val="center"/>
              <w:rPr>
                <w:rFonts w:asciiTheme="minorHAnsi" w:hAnsiTheme="minorHAnsi"/>
                <w:b/>
                <w:bCs/>
              </w:rPr>
            </w:pPr>
            <w:proofErr w:type="spellStart"/>
            <w:r>
              <w:rPr>
                <w:rFonts w:asciiTheme="minorHAnsi" w:hAnsiTheme="minorHAnsi"/>
                <w:sz w:val="20"/>
              </w:rPr>
              <w:t>NaOH</w:t>
            </w:r>
            <w:proofErr w:type="spellEnd"/>
            <w:r>
              <w:rPr>
                <w:rFonts w:asciiTheme="minorHAnsi" w:hAnsiTheme="minorHAnsi"/>
                <w:sz w:val="20"/>
              </w:rPr>
              <w:t>-Plätzchen</w:t>
            </w:r>
          </w:p>
        </w:tc>
        <w:tc>
          <w:tcPr>
            <w:tcW w:w="3177" w:type="dxa"/>
            <w:gridSpan w:val="3"/>
            <w:tcBorders>
              <w:top w:val="single" w:sz="8" w:space="0" w:color="4F81BD"/>
              <w:bottom w:val="single" w:sz="8" w:space="0" w:color="4F81BD"/>
            </w:tcBorders>
            <w:shd w:val="clear" w:color="auto" w:fill="auto"/>
            <w:vAlign w:val="center"/>
          </w:tcPr>
          <w:p w:rsidR="001C518C" w:rsidRPr="00810D5A" w:rsidRDefault="001C518C" w:rsidP="000B072C">
            <w:pPr>
              <w:spacing w:after="0"/>
              <w:contextualSpacing/>
              <w:jc w:val="center"/>
              <w:rPr>
                <w:rFonts w:asciiTheme="minorHAnsi" w:hAnsiTheme="minorHAnsi"/>
              </w:rPr>
            </w:pPr>
            <w:r w:rsidRPr="00810D5A">
              <w:rPr>
                <w:rFonts w:asciiTheme="minorHAnsi" w:hAnsiTheme="minorHAnsi"/>
                <w:sz w:val="20"/>
              </w:rPr>
              <w:t xml:space="preserve">H: </w:t>
            </w:r>
            <w:r w:rsidRPr="00810D5A">
              <w:rPr>
                <w:rFonts w:asciiTheme="minorHAnsi" w:hAnsiTheme="minorHAnsi"/>
              </w:rPr>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C518C" w:rsidRPr="00810D5A" w:rsidRDefault="001C518C" w:rsidP="000B072C">
            <w:pPr>
              <w:spacing w:after="0"/>
              <w:contextualSpacing/>
              <w:jc w:val="center"/>
              <w:rPr>
                <w:rFonts w:asciiTheme="minorHAnsi" w:hAnsiTheme="minorHAnsi"/>
              </w:rPr>
            </w:pPr>
            <w:r w:rsidRPr="00810D5A">
              <w:rPr>
                <w:rFonts w:asciiTheme="minorHAnsi" w:hAnsiTheme="minorHAnsi"/>
                <w:sz w:val="20"/>
              </w:rPr>
              <w:t xml:space="preserve">P: </w:t>
            </w:r>
            <w:hyperlink r:id="rId7" w:anchor="P-S.C3.A4tze" w:tooltip="H- und P-Sätze" w:history="1">
              <w:r w:rsidRPr="00810D5A">
                <w:rPr>
                  <w:rStyle w:val="Hyperlink"/>
                  <w:rFonts w:asciiTheme="minorHAnsi" w:hAnsiTheme="minorHAnsi"/>
                  <w:color w:val="auto"/>
                  <w:sz w:val="20"/>
                </w:rPr>
                <w:t>280</w:t>
              </w:r>
            </w:hyperlink>
            <w:r w:rsidRPr="00810D5A">
              <w:rPr>
                <w:rFonts w:asciiTheme="minorHAnsi" w:hAnsiTheme="minorHAnsi"/>
                <w:sz w:val="20"/>
              </w:rPr>
              <w:t>-​</w:t>
            </w:r>
            <w:hyperlink r:id="rId8" w:anchor="P-S.C3.A4tze" w:tooltip="H- und P-Sätze" w:history="1">
              <w:r w:rsidRPr="00810D5A">
                <w:rPr>
                  <w:rStyle w:val="Hyperlink"/>
                  <w:rFonts w:asciiTheme="minorHAnsi" w:hAnsiTheme="minorHAnsi"/>
                  <w:color w:val="auto"/>
                  <w:sz w:val="20"/>
                </w:rPr>
                <w:t>301+330+331</w:t>
              </w:r>
            </w:hyperlink>
          </w:p>
        </w:tc>
      </w:tr>
      <w:tr w:rsidR="001C518C" w:rsidRPr="00810D5A" w:rsidTr="000B072C">
        <w:trPr>
          <w:trHeight w:val="434"/>
        </w:trPr>
        <w:tc>
          <w:tcPr>
            <w:tcW w:w="3027" w:type="dxa"/>
            <w:gridSpan w:val="3"/>
            <w:shd w:val="clear" w:color="auto" w:fill="auto"/>
            <w:vAlign w:val="center"/>
          </w:tcPr>
          <w:p w:rsidR="001C518C" w:rsidRPr="00810D5A" w:rsidRDefault="001C518C" w:rsidP="000B072C">
            <w:pPr>
              <w:spacing w:after="0" w:line="276" w:lineRule="auto"/>
              <w:contextualSpacing/>
              <w:jc w:val="center"/>
              <w:rPr>
                <w:rFonts w:asciiTheme="minorHAnsi" w:hAnsiTheme="minorHAnsi"/>
                <w:bCs/>
                <w:sz w:val="20"/>
              </w:rPr>
            </w:pPr>
            <w:r>
              <w:rPr>
                <w:rFonts w:asciiTheme="minorHAnsi" w:hAnsiTheme="minorHAnsi"/>
                <w:color w:val="auto"/>
                <w:sz w:val="20"/>
                <w:szCs w:val="20"/>
              </w:rPr>
              <w:t>Zitronensäure</w:t>
            </w:r>
          </w:p>
        </w:tc>
        <w:tc>
          <w:tcPr>
            <w:tcW w:w="3177" w:type="dxa"/>
            <w:gridSpan w:val="3"/>
            <w:shd w:val="clear" w:color="auto" w:fill="auto"/>
            <w:vAlign w:val="center"/>
          </w:tcPr>
          <w:p w:rsidR="001C518C" w:rsidRPr="00810D5A" w:rsidRDefault="001C518C" w:rsidP="000B072C">
            <w:pPr>
              <w:pStyle w:val="Beschriftung"/>
              <w:spacing w:after="0"/>
              <w:contextualSpacing/>
              <w:jc w:val="center"/>
              <w:rPr>
                <w:rFonts w:asciiTheme="minorHAnsi" w:hAnsiTheme="minorHAnsi"/>
                <w:sz w:val="20"/>
              </w:rPr>
            </w:pPr>
            <w:r w:rsidRPr="00810D5A">
              <w:rPr>
                <w:rFonts w:asciiTheme="minorHAnsi" w:hAnsiTheme="minorHAnsi"/>
                <w:sz w:val="20"/>
              </w:rPr>
              <w:t xml:space="preserve">H: </w:t>
            </w:r>
            <w:r>
              <w:t>319</w:t>
            </w:r>
          </w:p>
        </w:tc>
        <w:tc>
          <w:tcPr>
            <w:tcW w:w="3118" w:type="dxa"/>
            <w:gridSpan w:val="3"/>
            <w:shd w:val="clear" w:color="auto" w:fill="auto"/>
            <w:vAlign w:val="center"/>
          </w:tcPr>
          <w:p w:rsidR="001C518C" w:rsidRPr="00810D5A" w:rsidRDefault="001C518C" w:rsidP="000B072C">
            <w:pPr>
              <w:pStyle w:val="Beschriftung"/>
              <w:spacing w:after="0"/>
              <w:contextualSpacing/>
              <w:jc w:val="center"/>
              <w:rPr>
                <w:rFonts w:asciiTheme="minorHAnsi" w:hAnsiTheme="minorHAnsi"/>
                <w:sz w:val="20"/>
              </w:rPr>
            </w:pPr>
            <w:r w:rsidRPr="00810D5A">
              <w:rPr>
                <w:rFonts w:asciiTheme="minorHAnsi" w:hAnsiTheme="minorHAnsi"/>
                <w:sz w:val="20"/>
              </w:rPr>
              <w:t xml:space="preserve">P: </w:t>
            </w:r>
            <w:hyperlink r:id="rId9" w:anchor="P-S.C3.A4tze" w:tooltip="H- und P-Sätze" w:history="1">
              <w:r>
                <w:rPr>
                  <w:rStyle w:val="Hyperlink"/>
                  <w:rFonts w:asciiTheme="minorHAnsi" w:hAnsiTheme="minorHAnsi"/>
                  <w:sz w:val="20"/>
                </w:rPr>
                <w:t>305+351+338</w:t>
              </w:r>
            </w:hyperlink>
          </w:p>
        </w:tc>
      </w:tr>
      <w:tr w:rsidR="001C518C" w:rsidRPr="00810D5A" w:rsidTr="000B072C">
        <w:trPr>
          <w:trHeight w:val="434"/>
        </w:trPr>
        <w:tc>
          <w:tcPr>
            <w:tcW w:w="3027" w:type="dxa"/>
            <w:gridSpan w:val="3"/>
            <w:shd w:val="clear" w:color="auto" w:fill="auto"/>
            <w:vAlign w:val="center"/>
          </w:tcPr>
          <w:p w:rsidR="001C518C" w:rsidRDefault="001C518C" w:rsidP="000B072C">
            <w:pPr>
              <w:spacing w:after="0" w:line="276" w:lineRule="auto"/>
              <w:contextualSpacing/>
              <w:jc w:val="center"/>
              <w:rPr>
                <w:rFonts w:asciiTheme="minorHAnsi" w:hAnsiTheme="minorHAnsi"/>
                <w:color w:val="auto"/>
                <w:sz w:val="20"/>
                <w:szCs w:val="20"/>
              </w:rPr>
            </w:pPr>
            <w:proofErr w:type="spellStart"/>
            <w:r>
              <w:rPr>
                <w:rFonts w:asciiTheme="minorHAnsi" w:hAnsiTheme="minorHAnsi"/>
                <w:color w:val="auto"/>
                <w:sz w:val="20"/>
                <w:szCs w:val="20"/>
              </w:rPr>
              <w:t>NaAc</w:t>
            </w:r>
            <w:proofErr w:type="spellEnd"/>
          </w:p>
        </w:tc>
        <w:tc>
          <w:tcPr>
            <w:tcW w:w="3177" w:type="dxa"/>
            <w:gridSpan w:val="3"/>
            <w:shd w:val="clear" w:color="auto" w:fill="auto"/>
            <w:vAlign w:val="center"/>
          </w:tcPr>
          <w:p w:rsidR="001C518C" w:rsidRPr="00810D5A" w:rsidRDefault="001C518C" w:rsidP="000B072C">
            <w:pPr>
              <w:pStyle w:val="Beschriftung"/>
              <w:spacing w:after="0"/>
              <w:contextualSpacing/>
              <w:jc w:val="center"/>
              <w:rPr>
                <w:rFonts w:asciiTheme="minorHAnsi" w:hAnsiTheme="minorHAnsi"/>
                <w:sz w:val="20"/>
              </w:rPr>
            </w:pPr>
            <w:r>
              <w:rPr>
                <w:rFonts w:asciiTheme="minorHAnsi" w:hAnsiTheme="minorHAnsi"/>
                <w:sz w:val="20"/>
              </w:rPr>
              <w:t>H: -</w:t>
            </w:r>
          </w:p>
        </w:tc>
        <w:tc>
          <w:tcPr>
            <w:tcW w:w="3118" w:type="dxa"/>
            <w:gridSpan w:val="3"/>
            <w:shd w:val="clear" w:color="auto" w:fill="auto"/>
            <w:vAlign w:val="center"/>
          </w:tcPr>
          <w:p w:rsidR="001C518C" w:rsidRPr="00810D5A" w:rsidRDefault="001C518C" w:rsidP="000B072C">
            <w:pPr>
              <w:pStyle w:val="Beschriftung"/>
              <w:spacing w:after="0"/>
              <w:contextualSpacing/>
              <w:jc w:val="center"/>
              <w:rPr>
                <w:rFonts w:asciiTheme="minorHAnsi" w:hAnsiTheme="minorHAnsi"/>
                <w:sz w:val="20"/>
              </w:rPr>
            </w:pPr>
            <w:r>
              <w:rPr>
                <w:rFonts w:asciiTheme="minorHAnsi" w:hAnsiTheme="minorHAnsi"/>
                <w:sz w:val="20"/>
              </w:rPr>
              <w:t>P: -</w:t>
            </w:r>
          </w:p>
        </w:tc>
      </w:tr>
      <w:tr w:rsidR="001C518C" w:rsidRPr="00810D5A" w:rsidTr="000B072C">
        <w:trPr>
          <w:trHeight w:val="434"/>
        </w:trPr>
        <w:tc>
          <w:tcPr>
            <w:tcW w:w="3027" w:type="dxa"/>
            <w:gridSpan w:val="3"/>
            <w:shd w:val="clear" w:color="auto" w:fill="auto"/>
            <w:vAlign w:val="center"/>
          </w:tcPr>
          <w:p w:rsidR="001C518C" w:rsidRDefault="001C518C" w:rsidP="000B072C">
            <w:pPr>
              <w:spacing w:after="0" w:line="276" w:lineRule="auto"/>
              <w:contextualSpacing/>
              <w:jc w:val="center"/>
              <w:rPr>
                <w:rFonts w:asciiTheme="minorHAnsi" w:hAnsiTheme="minorHAnsi"/>
                <w:color w:val="auto"/>
                <w:sz w:val="20"/>
                <w:szCs w:val="20"/>
              </w:rPr>
            </w:pPr>
            <w:r>
              <w:rPr>
                <w:rFonts w:asciiTheme="minorHAnsi" w:hAnsiTheme="minorHAnsi"/>
                <w:color w:val="auto"/>
                <w:sz w:val="20"/>
                <w:szCs w:val="20"/>
              </w:rPr>
              <w:t>NaCl</w:t>
            </w:r>
          </w:p>
        </w:tc>
        <w:tc>
          <w:tcPr>
            <w:tcW w:w="3177" w:type="dxa"/>
            <w:gridSpan w:val="3"/>
            <w:shd w:val="clear" w:color="auto" w:fill="auto"/>
            <w:vAlign w:val="center"/>
          </w:tcPr>
          <w:p w:rsidR="001C518C" w:rsidRPr="00810D5A" w:rsidRDefault="001C518C" w:rsidP="000B072C">
            <w:pPr>
              <w:pStyle w:val="Beschriftung"/>
              <w:spacing w:after="0"/>
              <w:contextualSpacing/>
              <w:jc w:val="center"/>
              <w:rPr>
                <w:rFonts w:asciiTheme="minorHAnsi" w:hAnsiTheme="minorHAnsi"/>
                <w:sz w:val="20"/>
              </w:rPr>
            </w:pPr>
            <w:r>
              <w:rPr>
                <w:rFonts w:asciiTheme="minorHAnsi" w:hAnsiTheme="minorHAnsi"/>
                <w:sz w:val="20"/>
              </w:rPr>
              <w:t>H: -</w:t>
            </w:r>
          </w:p>
        </w:tc>
        <w:tc>
          <w:tcPr>
            <w:tcW w:w="3118" w:type="dxa"/>
            <w:gridSpan w:val="3"/>
            <w:shd w:val="clear" w:color="auto" w:fill="auto"/>
            <w:vAlign w:val="center"/>
          </w:tcPr>
          <w:p w:rsidR="001C518C" w:rsidRPr="00810D5A" w:rsidRDefault="001C518C" w:rsidP="000B072C">
            <w:pPr>
              <w:pStyle w:val="Beschriftung"/>
              <w:spacing w:after="0"/>
              <w:contextualSpacing/>
              <w:jc w:val="center"/>
              <w:rPr>
                <w:rFonts w:asciiTheme="minorHAnsi" w:hAnsiTheme="minorHAnsi"/>
                <w:sz w:val="20"/>
              </w:rPr>
            </w:pPr>
            <w:r>
              <w:rPr>
                <w:rFonts w:asciiTheme="minorHAnsi" w:hAnsiTheme="minorHAnsi"/>
                <w:sz w:val="20"/>
              </w:rPr>
              <w:t>P: -</w:t>
            </w:r>
          </w:p>
        </w:tc>
      </w:tr>
      <w:tr w:rsidR="001C518C" w:rsidRPr="00810D5A" w:rsidTr="000B072C">
        <w:trPr>
          <w:trHeight w:val="434"/>
        </w:trPr>
        <w:tc>
          <w:tcPr>
            <w:tcW w:w="3027" w:type="dxa"/>
            <w:gridSpan w:val="3"/>
            <w:shd w:val="clear" w:color="auto" w:fill="auto"/>
            <w:vAlign w:val="center"/>
          </w:tcPr>
          <w:p w:rsidR="001C518C" w:rsidRPr="00F775A0" w:rsidRDefault="001C518C" w:rsidP="000B072C">
            <w:pPr>
              <w:spacing w:after="0" w:line="276" w:lineRule="auto"/>
              <w:contextualSpacing/>
              <w:jc w:val="center"/>
              <w:rPr>
                <w:rFonts w:asciiTheme="minorHAnsi" w:hAnsiTheme="minorHAnsi"/>
                <w:color w:val="auto"/>
                <w:sz w:val="20"/>
                <w:szCs w:val="20"/>
              </w:rPr>
            </w:pPr>
            <w:r>
              <w:rPr>
                <w:rFonts w:asciiTheme="minorHAnsi" w:hAnsiTheme="minorHAnsi"/>
                <w:color w:val="auto"/>
                <w:sz w:val="20"/>
                <w:szCs w:val="20"/>
              </w:rPr>
              <w:t>NH</w:t>
            </w:r>
            <w:r>
              <w:rPr>
                <w:rFonts w:asciiTheme="minorHAnsi" w:hAnsiTheme="minorHAnsi"/>
                <w:color w:val="auto"/>
                <w:sz w:val="20"/>
                <w:szCs w:val="20"/>
                <w:vertAlign w:val="subscript"/>
              </w:rPr>
              <w:t>4</w:t>
            </w:r>
            <w:r>
              <w:rPr>
                <w:rFonts w:asciiTheme="minorHAnsi" w:hAnsiTheme="minorHAnsi"/>
                <w:color w:val="auto"/>
                <w:sz w:val="20"/>
                <w:szCs w:val="20"/>
              </w:rPr>
              <w:t>Cl</w:t>
            </w:r>
          </w:p>
        </w:tc>
        <w:tc>
          <w:tcPr>
            <w:tcW w:w="3177" w:type="dxa"/>
            <w:gridSpan w:val="3"/>
            <w:shd w:val="clear" w:color="auto" w:fill="auto"/>
            <w:vAlign w:val="center"/>
          </w:tcPr>
          <w:p w:rsidR="001C518C" w:rsidRPr="00810D5A" w:rsidRDefault="001C518C" w:rsidP="000B072C">
            <w:pPr>
              <w:pStyle w:val="Beschriftung"/>
              <w:spacing w:after="0"/>
              <w:contextualSpacing/>
              <w:jc w:val="center"/>
              <w:rPr>
                <w:rFonts w:asciiTheme="minorHAnsi" w:hAnsiTheme="minorHAnsi"/>
                <w:sz w:val="20"/>
              </w:rPr>
            </w:pPr>
            <w:r>
              <w:rPr>
                <w:rFonts w:asciiTheme="minorHAnsi" w:hAnsiTheme="minorHAnsi"/>
                <w:sz w:val="20"/>
              </w:rPr>
              <w:t>H: 302- 319</w:t>
            </w:r>
          </w:p>
        </w:tc>
        <w:tc>
          <w:tcPr>
            <w:tcW w:w="3118" w:type="dxa"/>
            <w:gridSpan w:val="3"/>
            <w:shd w:val="clear" w:color="auto" w:fill="auto"/>
            <w:vAlign w:val="center"/>
          </w:tcPr>
          <w:p w:rsidR="001C518C" w:rsidRPr="00810D5A" w:rsidRDefault="001C518C" w:rsidP="000B072C">
            <w:pPr>
              <w:pStyle w:val="Beschriftung"/>
              <w:spacing w:after="0"/>
              <w:contextualSpacing/>
              <w:jc w:val="center"/>
              <w:rPr>
                <w:rFonts w:asciiTheme="minorHAnsi" w:hAnsiTheme="minorHAnsi"/>
                <w:sz w:val="20"/>
              </w:rPr>
            </w:pPr>
            <w:r w:rsidRPr="00810D5A">
              <w:rPr>
                <w:rFonts w:asciiTheme="minorHAnsi" w:hAnsiTheme="minorHAnsi"/>
                <w:sz w:val="20"/>
              </w:rPr>
              <w:t xml:space="preserve">P: </w:t>
            </w:r>
            <w:hyperlink r:id="rId10" w:anchor="P-S.C3.A4tze" w:tooltip="H- und P-Sätze" w:history="1">
              <w:r>
                <w:rPr>
                  <w:rStyle w:val="Hyperlink"/>
                  <w:rFonts w:asciiTheme="minorHAnsi" w:hAnsiTheme="minorHAnsi"/>
                  <w:sz w:val="20"/>
                </w:rPr>
                <w:t>305+351+338</w:t>
              </w:r>
            </w:hyperlink>
          </w:p>
        </w:tc>
      </w:tr>
      <w:tr w:rsidR="001C518C" w:rsidRPr="00810D5A" w:rsidTr="000B072C">
        <w:tc>
          <w:tcPr>
            <w:tcW w:w="1009" w:type="dxa"/>
            <w:tcBorders>
              <w:top w:val="single" w:sz="8" w:space="0" w:color="4F81BD"/>
              <w:left w:val="single" w:sz="8" w:space="0" w:color="4F81BD"/>
              <w:bottom w:val="single" w:sz="8" w:space="0" w:color="4F81BD"/>
            </w:tcBorders>
            <w:shd w:val="clear" w:color="auto" w:fill="auto"/>
            <w:vAlign w:val="center"/>
          </w:tcPr>
          <w:p w:rsidR="001C518C" w:rsidRPr="00810D5A" w:rsidRDefault="001C518C" w:rsidP="000B072C">
            <w:pPr>
              <w:spacing w:after="0"/>
              <w:contextualSpacing/>
              <w:jc w:val="center"/>
              <w:rPr>
                <w:rFonts w:asciiTheme="minorHAnsi" w:hAnsiTheme="minorHAnsi"/>
                <w:b/>
                <w:bCs/>
              </w:rPr>
            </w:pPr>
            <w:r w:rsidRPr="00810D5A">
              <w:rPr>
                <w:rFonts w:asciiTheme="minorHAnsi" w:hAnsiTheme="minorHAnsi"/>
                <w:b/>
                <w:noProof/>
                <w:lang w:eastAsia="de-DE"/>
              </w:rPr>
              <w:drawing>
                <wp:inline distT="0" distB="0" distL="0" distR="0" wp14:anchorId="48B07FA6" wp14:editId="361DCE9C">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C518C" w:rsidRPr="00810D5A" w:rsidRDefault="001C518C"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308BFF34" wp14:editId="05CA4124">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C518C" w:rsidRPr="00810D5A" w:rsidRDefault="001C518C"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3B31ADFD" wp14:editId="7BEC8751">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C518C" w:rsidRPr="00810D5A" w:rsidRDefault="001C518C"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3C102869" wp14:editId="52EB12E5">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C518C" w:rsidRPr="00810D5A" w:rsidRDefault="001C518C"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1F40B15C" wp14:editId="0FE0EBEB">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C518C" w:rsidRPr="00810D5A" w:rsidRDefault="001C518C"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42C75383" wp14:editId="73DBAAD1">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C518C" w:rsidRPr="00810D5A" w:rsidRDefault="001C518C"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4D351926" wp14:editId="09129F26">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C518C" w:rsidRPr="00810D5A" w:rsidRDefault="001C518C"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2A702E34" wp14:editId="2CA9399D">
                  <wp:extent cx="511175" cy="511175"/>
                  <wp:effectExtent l="0" t="0" r="3175" b="317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C518C" w:rsidRPr="00810D5A" w:rsidRDefault="001C518C"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731402C4" wp14:editId="61BB0506">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1C518C" w:rsidRPr="00810D5A" w:rsidRDefault="001C518C" w:rsidP="001C518C">
      <w:pPr>
        <w:tabs>
          <w:tab w:val="left" w:pos="1701"/>
          <w:tab w:val="left" w:pos="1985"/>
        </w:tabs>
        <w:ind w:left="1980" w:hanging="1980"/>
        <w:contextualSpacing/>
        <w:rPr>
          <w:rFonts w:asciiTheme="minorHAnsi" w:hAnsiTheme="minorHAnsi"/>
        </w:rPr>
      </w:pPr>
    </w:p>
    <w:p w:rsidR="001C518C" w:rsidRPr="00810D5A" w:rsidRDefault="001C518C" w:rsidP="001C518C">
      <w:pPr>
        <w:tabs>
          <w:tab w:val="left" w:pos="1701"/>
          <w:tab w:val="left" w:pos="1985"/>
        </w:tabs>
        <w:ind w:left="1980" w:hanging="1980"/>
        <w:contextualSpacing/>
        <w:rPr>
          <w:rFonts w:asciiTheme="minorHAnsi" w:hAnsiTheme="minorHAnsi"/>
        </w:rPr>
      </w:pPr>
      <w:r w:rsidRPr="00810D5A">
        <w:rPr>
          <w:rFonts w:asciiTheme="minorHAnsi" w:hAnsiTheme="minorHAnsi"/>
        </w:rPr>
        <w:t xml:space="preserve">Materialien: </w:t>
      </w:r>
      <w:r w:rsidRPr="00810D5A">
        <w:rPr>
          <w:rFonts w:asciiTheme="minorHAnsi" w:hAnsiTheme="minorHAnsi"/>
        </w:rPr>
        <w:tab/>
      </w:r>
      <w:r w:rsidRPr="00810D5A">
        <w:rPr>
          <w:rFonts w:asciiTheme="minorHAnsi" w:hAnsiTheme="minorHAnsi"/>
        </w:rPr>
        <w:tab/>
      </w:r>
      <w:r>
        <w:rPr>
          <w:rFonts w:asciiTheme="minorHAnsi" w:hAnsiTheme="minorHAnsi"/>
        </w:rPr>
        <w:t>5 Uhrgläser, 5 Bechergläser (100 mL), pH-Universalstreifen</w:t>
      </w:r>
    </w:p>
    <w:p w:rsidR="001C518C" w:rsidRPr="00810D5A" w:rsidRDefault="001C518C" w:rsidP="001C518C">
      <w:pPr>
        <w:tabs>
          <w:tab w:val="left" w:pos="1701"/>
          <w:tab w:val="left" w:pos="1985"/>
        </w:tabs>
        <w:ind w:left="1980" w:hanging="1980"/>
        <w:contextualSpacing/>
        <w:rPr>
          <w:rFonts w:asciiTheme="minorHAnsi" w:hAnsiTheme="minorHAnsi"/>
        </w:rPr>
      </w:pPr>
      <w:r w:rsidRPr="00810D5A">
        <w:rPr>
          <w:rFonts w:asciiTheme="minorHAnsi" w:hAnsiTheme="minorHAnsi"/>
        </w:rPr>
        <w:t>Chemikalien:</w:t>
      </w:r>
      <w:r w:rsidRPr="00810D5A">
        <w:rPr>
          <w:rFonts w:asciiTheme="minorHAnsi" w:hAnsiTheme="minorHAnsi"/>
        </w:rPr>
        <w:tab/>
      </w:r>
      <w:r w:rsidRPr="00810D5A">
        <w:rPr>
          <w:rFonts w:asciiTheme="minorHAnsi" w:hAnsiTheme="minorHAnsi"/>
        </w:rPr>
        <w:tab/>
      </w:r>
      <w:proofErr w:type="spellStart"/>
      <w:r>
        <w:rPr>
          <w:rFonts w:asciiTheme="minorHAnsi" w:hAnsiTheme="minorHAnsi"/>
        </w:rPr>
        <w:t>NaOH</w:t>
      </w:r>
      <w:proofErr w:type="spellEnd"/>
      <w:r>
        <w:rPr>
          <w:rFonts w:asciiTheme="minorHAnsi" w:hAnsiTheme="minorHAnsi"/>
        </w:rPr>
        <w:t xml:space="preserve">-Plätzchen, Zitronensäure, Natriumacetat, Natriumchlorid, Ammoniumchlorid, </w:t>
      </w:r>
      <w:proofErr w:type="spellStart"/>
      <w:r>
        <w:rPr>
          <w:rFonts w:asciiTheme="minorHAnsi" w:hAnsiTheme="minorHAnsi"/>
        </w:rPr>
        <w:t>dest</w:t>
      </w:r>
      <w:proofErr w:type="spellEnd"/>
      <w:r>
        <w:rPr>
          <w:rFonts w:asciiTheme="minorHAnsi" w:hAnsiTheme="minorHAnsi"/>
        </w:rPr>
        <w:t>. Wasser</w:t>
      </w:r>
    </w:p>
    <w:p w:rsidR="001C518C" w:rsidRDefault="001C518C" w:rsidP="001C518C">
      <w:pPr>
        <w:tabs>
          <w:tab w:val="left" w:pos="1701"/>
          <w:tab w:val="left" w:pos="1985"/>
        </w:tabs>
        <w:ind w:left="1980" w:hanging="1980"/>
        <w:contextualSpacing/>
        <w:rPr>
          <w:rFonts w:asciiTheme="minorHAnsi" w:hAnsiTheme="minorHAnsi"/>
        </w:rPr>
      </w:pPr>
      <w:r w:rsidRPr="00810D5A">
        <w:rPr>
          <w:rFonts w:asciiTheme="minorHAnsi" w:hAnsiTheme="minorHAnsi"/>
        </w:rPr>
        <w:t xml:space="preserve">Durchführung: </w:t>
      </w:r>
      <w:r w:rsidRPr="00810D5A">
        <w:rPr>
          <w:rFonts w:asciiTheme="minorHAnsi" w:hAnsiTheme="minorHAnsi"/>
        </w:rPr>
        <w:tab/>
      </w:r>
      <w:r w:rsidRPr="00810D5A">
        <w:rPr>
          <w:rFonts w:asciiTheme="minorHAnsi" w:hAnsiTheme="minorHAnsi"/>
        </w:rPr>
        <w:tab/>
      </w:r>
      <w:r w:rsidRPr="00810D5A">
        <w:rPr>
          <w:rFonts w:asciiTheme="minorHAnsi" w:hAnsiTheme="minorHAnsi"/>
        </w:rPr>
        <w:tab/>
      </w:r>
      <w:r>
        <w:rPr>
          <w:rFonts w:asciiTheme="minorHAnsi" w:hAnsiTheme="minorHAnsi"/>
        </w:rPr>
        <w:t xml:space="preserve">a) Im ersten Versuchsteil werden Natriumhydroxid und Zitronensäure verwendet. 0,5 g Salz und ein </w:t>
      </w:r>
      <w:proofErr w:type="spellStart"/>
      <w:r>
        <w:rPr>
          <w:rFonts w:asciiTheme="minorHAnsi" w:hAnsiTheme="minorHAnsi"/>
        </w:rPr>
        <w:t>NaOH</w:t>
      </w:r>
      <w:proofErr w:type="spellEnd"/>
      <w:r>
        <w:rPr>
          <w:rFonts w:asciiTheme="minorHAnsi" w:hAnsiTheme="minorHAnsi"/>
        </w:rPr>
        <w:t>-Plätzchen werden auf jeweils einem Uhrglas platziert. Mit einem pH-Universalindikatorstreifen wird versucht der pH-Wert zu bestimmen, dazu wird ein pH-Papierstreifen an die Feststoffe gehalten.</w:t>
      </w:r>
    </w:p>
    <w:p w:rsidR="001C518C" w:rsidRDefault="001C518C" w:rsidP="001C518C">
      <w:pPr>
        <w:tabs>
          <w:tab w:val="left" w:pos="1701"/>
          <w:tab w:val="left" w:pos="1985"/>
        </w:tabs>
        <w:ind w:left="1980" w:hanging="1980"/>
        <w:contextualSpacing/>
        <w:rPr>
          <w:rFonts w:asciiTheme="minorHAnsi" w:hAnsiTheme="minorHAnsi"/>
        </w:rPr>
      </w:pPr>
      <w:r>
        <w:rPr>
          <w:rFonts w:asciiTheme="minorHAnsi" w:hAnsiTheme="minorHAnsi"/>
        </w:rPr>
        <w:tab/>
      </w:r>
      <w:r>
        <w:rPr>
          <w:rFonts w:asciiTheme="minorHAnsi" w:hAnsiTheme="minorHAnsi"/>
        </w:rPr>
        <w:tab/>
        <w:t xml:space="preserve">Danach werden das Salz und das Natriumplätzchen in jeweils ein Becherglas gegeben und mit 50 mL </w:t>
      </w:r>
      <w:proofErr w:type="spellStart"/>
      <w:r>
        <w:rPr>
          <w:rFonts w:asciiTheme="minorHAnsi" w:hAnsiTheme="minorHAnsi"/>
        </w:rPr>
        <w:t>dest</w:t>
      </w:r>
      <w:proofErr w:type="spellEnd"/>
      <w:r>
        <w:rPr>
          <w:rFonts w:asciiTheme="minorHAnsi" w:hAnsiTheme="minorHAnsi"/>
        </w:rPr>
        <w:t>. Wasser versetzt. Anschließend wird der pH-Wert überprüft.</w:t>
      </w:r>
    </w:p>
    <w:p w:rsidR="001C518C" w:rsidRPr="00810D5A" w:rsidRDefault="001C518C" w:rsidP="001C518C">
      <w:pPr>
        <w:tabs>
          <w:tab w:val="left" w:pos="1701"/>
          <w:tab w:val="left" w:pos="1985"/>
        </w:tabs>
        <w:ind w:left="1980" w:hanging="1980"/>
        <w:contextualSpacing/>
        <w:rPr>
          <w:rFonts w:asciiTheme="minorHAnsi" w:hAnsiTheme="minorHAnsi"/>
        </w:rPr>
      </w:pPr>
      <w:r>
        <w:rPr>
          <w:rFonts w:asciiTheme="minorHAnsi" w:hAnsiTheme="minorHAnsi"/>
        </w:rPr>
        <w:tab/>
      </w:r>
      <w:r>
        <w:rPr>
          <w:rFonts w:asciiTheme="minorHAnsi" w:hAnsiTheme="minorHAnsi"/>
        </w:rPr>
        <w:tab/>
        <w:t xml:space="preserve">b) Im zweiten Versuchsteil werden je 0,5 g Natriumacetat, Natriumchlorid und Ammoniumchlorid in jeweils 50 mL </w:t>
      </w:r>
      <w:proofErr w:type="spellStart"/>
      <w:r>
        <w:rPr>
          <w:rFonts w:asciiTheme="minorHAnsi" w:hAnsiTheme="minorHAnsi"/>
        </w:rPr>
        <w:t>dest</w:t>
      </w:r>
      <w:proofErr w:type="spellEnd"/>
      <w:r>
        <w:rPr>
          <w:rFonts w:asciiTheme="minorHAnsi" w:hAnsiTheme="minorHAnsi"/>
        </w:rPr>
        <w:t>. Wasser gelöst. Mit Hilfe von pH-Papierstreifen wird von jeder Lösung der pH-Wert bestimmt.</w:t>
      </w:r>
    </w:p>
    <w:p w:rsidR="001C518C" w:rsidRDefault="001C518C" w:rsidP="001C518C">
      <w:pPr>
        <w:tabs>
          <w:tab w:val="left" w:pos="1701"/>
          <w:tab w:val="left" w:pos="1985"/>
        </w:tabs>
        <w:ind w:left="1980" w:hanging="1980"/>
        <w:contextualSpacing/>
        <w:rPr>
          <w:rFonts w:asciiTheme="minorHAnsi" w:hAnsiTheme="minorHAnsi"/>
        </w:rPr>
      </w:pPr>
      <w:r w:rsidRPr="00810D5A">
        <w:rPr>
          <w:rFonts w:asciiTheme="minorHAnsi" w:hAnsiTheme="minorHAnsi"/>
        </w:rPr>
        <w:t>Beobachtung:</w:t>
      </w:r>
      <w:r w:rsidRPr="00810D5A">
        <w:rPr>
          <w:rFonts w:asciiTheme="minorHAnsi" w:hAnsiTheme="minorHAnsi"/>
        </w:rPr>
        <w:tab/>
      </w:r>
      <w:r w:rsidRPr="00810D5A">
        <w:rPr>
          <w:rFonts w:asciiTheme="minorHAnsi" w:hAnsiTheme="minorHAnsi"/>
        </w:rPr>
        <w:tab/>
      </w:r>
      <w:r w:rsidRPr="00810D5A">
        <w:rPr>
          <w:rFonts w:asciiTheme="minorHAnsi" w:hAnsiTheme="minorHAnsi"/>
        </w:rPr>
        <w:tab/>
      </w:r>
      <w:r>
        <w:rPr>
          <w:rFonts w:asciiTheme="minorHAnsi" w:hAnsiTheme="minorHAnsi"/>
        </w:rPr>
        <w:t xml:space="preserve">a) Wird das pH-Papier an das Salz und das </w:t>
      </w:r>
      <w:proofErr w:type="spellStart"/>
      <w:r>
        <w:rPr>
          <w:rFonts w:asciiTheme="minorHAnsi" w:hAnsiTheme="minorHAnsi"/>
        </w:rPr>
        <w:t>NaOH</w:t>
      </w:r>
      <w:proofErr w:type="spellEnd"/>
      <w:r>
        <w:rPr>
          <w:rFonts w:asciiTheme="minorHAnsi" w:hAnsiTheme="minorHAnsi"/>
        </w:rPr>
        <w:t>-Plätzchen gehalten ist keine Veränderung zu beobachten</w:t>
      </w:r>
      <w:r w:rsidRPr="00810D5A">
        <w:rPr>
          <w:rFonts w:asciiTheme="minorHAnsi" w:hAnsiTheme="minorHAnsi"/>
        </w:rPr>
        <w:t>.</w:t>
      </w:r>
      <w:r>
        <w:rPr>
          <w:rFonts w:asciiTheme="minorHAnsi" w:hAnsiTheme="minorHAnsi"/>
        </w:rPr>
        <w:t xml:space="preserve"> </w:t>
      </w:r>
    </w:p>
    <w:p w:rsidR="001C518C" w:rsidRPr="00810D5A" w:rsidRDefault="001C518C" w:rsidP="001C518C">
      <w:pPr>
        <w:tabs>
          <w:tab w:val="left" w:pos="1701"/>
          <w:tab w:val="left" w:pos="1985"/>
        </w:tabs>
        <w:ind w:left="1980" w:hanging="1980"/>
        <w:contextualSpacing/>
        <w:rPr>
          <w:rFonts w:asciiTheme="minorHAnsi" w:hAnsiTheme="minorHAnsi"/>
        </w:rPr>
      </w:pPr>
      <w:r>
        <w:rPr>
          <w:rFonts w:asciiTheme="minorHAnsi" w:hAnsiTheme="minorHAnsi"/>
        </w:rPr>
        <w:tab/>
      </w:r>
      <w:r>
        <w:rPr>
          <w:rFonts w:asciiTheme="minorHAnsi" w:hAnsiTheme="minorHAnsi"/>
        </w:rPr>
        <w:tab/>
        <w:t xml:space="preserve">b) Wird der pH-Papierstreifen in die wässrigen Lösungen getaucht verfärbt sich der pH-Streifen in der Zitronensäurelösung rot, in der </w:t>
      </w:r>
      <w:proofErr w:type="spellStart"/>
      <w:r>
        <w:rPr>
          <w:rFonts w:asciiTheme="minorHAnsi" w:hAnsiTheme="minorHAnsi"/>
        </w:rPr>
        <w:t>NaOH</w:t>
      </w:r>
      <w:proofErr w:type="spellEnd"/>
      <w:r>
        <w:rPr>
          <w:rFonts w:asciiTheme="minorHAnsi" w:hAnsiTheme="minorHAnsi"/>
        </w:rPr>
        <w:t>-Lösung hingegen grün.</w:t>
      </w:r>
    </w:p>
    <w:p w:rsidR="001C518C" w:rsidRPr="00810D5A" w:rsidRDefault="001C518C" w:rsidP="001C518C">
      <w:pPr>
        <w:keepNext/>
        <w:tabs>
          <w:tab w:val="left" w:pos="1701"/>
          <w:tab w:val="left" w:pos="1985"/>
        </w:tabs>
        <w:ind w:left="1980" w:hanging="1980"/>
        <w:contextualSpacing/>
        <w:jc w:val="center"/>
        <w:rPr>
          <w:rFonts w:asciiTheme="minorHAnsi" w:hAnsiTheme="minorHAnsi"/>
        </w:rPr>
      </w:pPr>
      <w:r w:rsidRPr="00810D5A">
        <w:rPr>
          <w:rFonts w:asciiTheme="minorHAnsi" w:hAnsiTheme="minorHAnsi"/>
          <w:noProof/>
          <w:lang w:eastAsia="de-DE"/>
        </w:rPr>
        <w:lastRenderedPageBreak/>
        <w:drawing>
          <wp:inline distT="0" distB="0" distL="0" distR="0" wp14:anchorId="5EBC9FB4" wp14:editId="0547A525">
            <wp:extent cx="2755076" cy="1664082"/>
            <wp:effectExtent l="0" t="0" r="7620" b="0"/>
            <wp:docPr id="3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787169" cy="1683466"/>
                    </a:xfrm>
                    <a:prstGeom prst="rect">
                      <a:avLst/>
                    </a:prstGeom>
                    <a:noFill/>
                    <a:ln w="9525">
                      <a:noFill/>
                      <a:miter lim="800000"/>
                      <a:headEnd/>
                      <a:tailEnd/>
                    </a:ln>
                  </pic:spPr>
                </pic:pic>
              </a:graphicData>
            </a:graphic>
          </wp:inline>
        </w:drawing>
      </w:r>
    </w:p>
    <w:p w:rsidR="001C518C" w:rsidRDefault="001C518C" w:rsidP="001C518C">
      <w:pPr>
        <w:pStyle w:val="Beschriftung"/>
        <w:contextualSpacing/>
        <w:jc w:val="center"/>
        <w:rPr>
          <w:rFonts w:asciiTheme="minorHAnsi" w:hAnsiTheme="minorHAnsi"/>
          <w:noProof/>
        </w:rPr>
      </w:pPr>
      <w:r w:rsidRPr="00810D5A">
        <w:rPr>
          <w:rFonts w:asciiTheme="minorHAnsi" w:hAnsiTheme="minorHAnsi"/>
        </w:rPr>
        <w:t xml:space="preserve">Abb. </w:t>
      </w:r>
      <w:r w:rsidRPr="00810D5A">
        <w:rPr>
          <w:rFonts w:asciiTheme="minorHAnsi" w:hAnsiTheme="minorHAnsi"/>
        </w:rPr>
        <w:fldChar w:fldCharType="begin"/>
      </w:r>
      <w:r w:rsidRPr="00810D5A">
        <w:rPr>
          <w:rFonts w:asciiTheme="minorHAnsi" w:hAnsiTheme="minorHAnsi"/>
        </w:rPr>
        <w:instrText xml:space="preserve"> SEQ Abb. \* ARABIC </w:instrText>
      </w:r>
      <w:r w:rsidRPr="00810D5A">
        <w:rPr>
          <w:rFonts w:asciiTheme="minorHAnsi" w:hAnsiTheme="minorHAnsi"/>
        </w:rPr>
        <w:fldChar w:fldCharType="separate"/>
      </w:r>
      <w:r w:rsidR="005712DC">
        <w:rPr>
          <w:rFonts w:asciiTheme="minorHAnsi" w:hAnsiTheme="minorHAnsi"/>
          <w:noProof/>
        </w:rPr>
        <w:t>1</w:t>
      </w:r>
      <w:r w:rsidRPr="00810D5A">
        <w:rPr>
          <w:rFonts w:asciiTheme="minorHAnsi" w:hAnsiTheme="minorHAnsi"/>
          <w:noProof/>
        </w:rPr>
        <w:fldChar w:fldCharType="end"/>
      </w:r>
      <w:r w:rsidRPr="00810D5A">
        <w:rPr>
          <w:rFonts w:asciiTheme="minorHAnsi" w:hAnsiTheme="minorHAnsi"/>
        </w:rPr>
        <w:t xml:space="preserve"> – </w:t>
      </w:r>
      <w:r>
        <w:rPr>
          <w:rFonts w:asciiTheme="minorHAnsi" w:hAnsiTheme="minorHAnsi"/>
          <w:noProof/>
        </w:rPr>
        <w:t>Beispielhafter Versuchsaufbau und erwartbare Ergebnisse am</w:t>
      </w:r>
    </w:p>
    <w:p w:rsidR="001C518C" w:rsidRPr="00810D5A" w:rsidRDefault="001C518C" w:rsidP="001C518C">
      <w:pPr>
        <w:pStyle w:val="Beschriftung"/>
        <w:contextualSpacing/>
        <w:jc w:val="center"/>
        <w:rPr>
          <w:rFonts w:asciiTheme="minorHAnsi" w:hAnsiTheme="minorHAnsi"/>
          <w:noProof/>
        </w:rPr>
      </w:pPr>
      <w:r>
        <w:rPr>
          <w:rFonts w:asciiTheme="minorHAnsi" w:hAnsiTheme="minorHAnsi"/>
          <w:noProof/>
        </w:rPr>
        <w:t>Beispiel von Zitronensäure</w:t>
      </w:r>
      <w:r w:rsidRPr="00810D5A">
        <w:rPr>
          <w:rFonts w:asciiTheme="minorHAnsi" w:hAnsiTheme="minorHAnsi"/>
          <w:noProof/>
        </w:rPr>
        <w:t>.</w:t>
      </w:r>
    </w:p>
    <w:p w:rsidR="001C518C" w:rsidRDefault="001C518C" w:rsidP="001C518C">
      <w:pPr>
        <w:tabs>
          <w:tab w:val="left" w:pos="1701"/>
          <w:tab w:val="left" w:pos="1985"/>
        </w:tabs>
        <w:ind w:left="1985" w:hanging="1985"/>
        <w:contextualSpacing/>
        <w:rPr>
          <w:rFonts w:asciiTheme="minorHAnsi" w:hAnsiTheme="minorHAnsi"/>
        </w:rPr>
      </w:pPr>
      <w:r w:rsidRPr="00810D5A">
        <w:rPr>
          <w:rFonts w:asciiTheme="minorHAnsi" w:hAnsiTheme="minorHAnsi"/>
        </w:rPr>
        <w:t>Deutung:</w:t>
      </w:r>
      <w:r w:rsidRPr="00810D5A">
        <w:rPr>
          <w:rFonts w:asciiTheme="minorHAnsi" w:hAnsiTheme="minorHAnsi"/>
        </w:rPr>
        <w:tab/>
      </w:r>
      <w:r w:rsidRPr="00810D5A">
        <w:rPr>
          <w:rFonts w:asciiTheme="minorHAnsi" w:hAnsiTheme="minorHAnsi"/>
        </w:rPr>
        <w:tab/>
      </w:r>
      <w:r>
        <w:rPr>
          <w:rFonts w:asciiTheme="minorHAnsi" w:hAnsiTheme="minorHAnsi"/>
        </w:rPr>
        <w:t xml:space="preserve">Die Zitronensäure und die </w:t>
      </w:r>
      <w:proofErr w:type="spellStart"/>
      <w:r>
        <w:rPr>
          <w:rFonts w:asciiTheme="minorHAnsi" w:hAnsiTheme="minorHAnsi"/>
        </w:rPr>
        <w:t>NaOH</w:t>
      </w:r>
      <w:proofErr w:type="spellEnd"/>
      <w:r>
        <w:rPr>
          <w:rFonts w:asciiTheme="minorHAnsi" w:hAnsiTheme="minorHAnsi"/>
        </w:rPr>
        <w:t>-Plätzchen geben jeweils erst in Wasser ihr Proton oder Hydroxid-Ion ab. Deshalb ist erst in wässriger Lösung ein pH-Wert zu bestimmen. Dies entspricht dem Säure-Base-Konzept nach Arrhenius.</w:t>
      </w:r>
    </w:p>
    <w:p w:rsidR="001C518C" w:rsidRDefault="001C518C" w:rsidP="001C518C">
      <w:pPr>
        <w:tabs>
          <w:tab w:val="left" w:pos="1701"/>
          <w:tab w:val="left" w:pos="1985"/>
        </w:tabs>
        <w:ind w:left="1985" w:hanging="1985"/>
        <w:contextualSpacing/>
        <w:rPr>
          <w:rFonts w:asciiTheme="minorHAnsi" w:hAnsiTheme="minorHAnsi"/>
        </w:rPr>
      </w:pPr>
      <w:r>
        <w:rPr>
          <w:rFonts w:asciiTheme="minorHAnsi" w:hAnsiTheme="minorHAnsi"/>
        </w:rPr>
        <w:tab/>
      </w:r>
      <w:r>
        <w:rPr>
          <w:rFonts w:asciiTheme="minorHAnsi" w:hAnsiTheme="minorHAnsi"/>
        </w:rPr>
        <w:tab/>
        <w:t>Das Ammoniumchlorid, Natriumchlorid und Natriumacetat dissoziieren ebenfalls in Wasser. Da sie keine Protonen bei dem Lösungsvorgang freisetzen sind sie nach Arrhenius weder Säuren noch Basen, wird jedoch der pH-Wert überprüft, so weist die Lösung des Ammoniumchlorids einen leicht sauren pH-Wert auf, während die Lösung des Natriumacetats einen basischen pH-Wert aufweist.</w:t>
      </w:r>
    </w:p>
    <w:p w:rsidR="001C518C" w:rsidRDefault="001C518C" w:rsidP="001C518C">
      <w:pPr>
        <w:tabs>
          <w:tab w:val="left" w:pos="1701"/>
          <w:tab w:val="left" w:pos="1985"/>
        </w:tabs>
        <w:ind w:left="1985" w:hanging="1985"/>
        <w:contextualSpacing/>
        <w:rPr>
          <w:rFonts w:asciiTheme="minorHAnsi" w:hAnsiTheme="minorHAnsi"/>
        </w:rPr>
      </w:pPr>
      <w:r>
        <w:rPr>
          <w:rFonts w:asciiTheme="minorHAnsi" w:hAnsiTheme="minorHAnsi"/>
        </w:rPr>
        <w:tab/>
      </w:r>
      <w:r>
        <w:rPr>
          <w:rFonts w:asciiTheme="minorHAnsi" w:hAnsiTheme="minorHAnsi"/>
        </w:rPr>
        <w:tab/>
      </w:r>
      <w:proofErr w:type="spellStart"/>
      <w:r>
        <w:rPr>
          <w:rFonts w:asciiTheme="minorHAnsi" w:hAnsiTheme="minorHAnsi"/>
        </w:rPr>
        <w:t>Natriumchloridlösung</w:t>
      </w:r>
      <w:proofErr w:type="spellEnd"/>
      <w:r>
        <w:rPr>
          <w:rFonts w:asciiTheme="minorHAnsi" w:hAnsiTheme="minorHAnsi"/>
        </w:rPr>
        <w:t xml:space="preserve"> besitzt einen neutralen pH-Wert.</w:t>
      </w:r>
    </w:p>
    <w:p w:rsidR="001C518C" w:rsidRPr="00504F45" w:rsidRDefault="001C518C" w:rsidP="001C518C">
      <w:pPr>
        <w:tabs>
          <w:tab w:val="left" w:pos="1701"/>
          <w:tab w:val="left" w:pos="1985"/>
        </w:tabs>
        <w:ind w:left="1985" w:hanging="1985"/>
        <w:contextualSpacing/>
        <w:rPr>
          <w:rFonts w:asciiTheme="minorHAnsi" w:hAnsiTheme="minorHAnsi"/>
        </w:rPr>
      </w:pPr>
      <w:r>
        <w:rPr>
          <w:rFonts w:asciiTheme="minorHAnsi" w:hAnsiTheme="minorHAnsi"/>
        </w:rPr>
        <w:tab/>
      </w:r>
      <w:r>
        <w:rPr>
          <w:rFonts w:asciiTheme="minorHAnsi" w:hAnsiTheme="minorHAnsi"/>
        </w:rPr>
        <w:tab/>
        <w:t>Wird die Dissoziation</w:t>
      </w:r>
      <w:r w:rsidRPr="00504F45">
        <w:rPr>
          <w:rFonts w:asciiTheme="minorHAnsi" w:hAnsiTheme="minorHAnsi"/>
        </w:rPr>
        <w:t xml:space="preserve"> von Ammoniumchlorid und Natriumacetat auf Teilchenebene betrachtet kann die pH-Wertänderung nachvollzogen werden:</w:t>
      </w:r>
    </w:p>
    <w:p w:rsidR="001C518C" w:rsidRPr="00504F45" w:rsidRDefault="00A42340" w:rsidP="001C518C">
      <w:pPr>
        <w:tabs>
          <w:tab w:val="left" w:pos="1701"/>
          <w:tab w:val="left" w:pos="1985"/>
        </w:tabs>
        <w:ind w:left="1985" w:hanging="1985"/>
        <w:contextualSpacing/>
        <w:rPr>
          <w:rFonts w:asciiTheme="minorHAnsi" w:eastAsiaTheme="minorEastAsia" w:hAnsiTheme="minorHAnsi"/>
        </w:rPr>
      </w:pPr>
      <m:oMathPara>
        <m:oMath>
          <m:sSub>
            <m:sSubPr>
              <m:ctrlPr>
                <w:rPr>
                  <w:rFonts w:ascii="Cambria Math" w:eastAsiaTheme="minorEastAsia" w:hAnsi="Cambria Math"/>
                </w:rPr>
              </m:ctrlPr>
            </m:sSubPr>
            <m:e>
              <m:r>
                <m:rPr>
                  <m:sty m:val="p"/>
                </m:rPr>
                <w:rPr>
                  <w:rFonts w:ascii="Cambria Math" w:eastAsiaTheme="minorEastAsia" w:hAnsi="Cambria Math"/>
                </w:rPr>
                <m:t>NH</m:t>
              </m:r>
            </m:e>
            <m:sub>
              <m:r>
                <m:rPr>
                  <m:sty m:val="p"/>
                </m:rPr>
                <w:rPr>
                  <w:rFonts w:ascii="Cambria Math" w:eastAsiaTheme="minorEastAsia" w:hAnsi="Cambria Math"/>
                </w:rPr>
                <m:t>4</m:t>
              </m:r>
            </m:sub>
          </m:sSub>
          <m:sSub>
            <m:sSubPr>
              <m:ctrlPr>
                <w:rPr>
                  <w:rFonts w:ascii="Cambria Math" w:eastAsiaTheme="minorEastAsia" w:hAnsi="Cambria Math"/>
                </w:rPr>
              </m:ctrlPr>
            </m:sSubPr>
            <m:e>
              <m:r>
                <m:rPr>
                  <m:sty m:val="p"/>
                </m:rPr>
                <w:rPr>
                  <w:rFonts w:ascii="Cambria Math" w:eastAsiaTheme="minorEastAsia" w:hAnsi="Cambria Math"/>
                </w:rPr>
                <m:t>Cl</m:t>
              </m:r>
            </m:e>
            <m:sub>
              <m:r>
                <m:rPr>
                  <m:sty m:val="p"/>
                </m:rPr>
                <w:rPr>
                  <w:rFonts w:ascii="Cambria Math" w:eastAsiaTheme="minorEastAsia" w:hAnsi="Cambria Math"/>
                </w:rPr>
                <m:t>(s)</m:t>
              </m:r>
            </m:sub>
          </m:sSub>
          <m:box>
            <m:boxPr>
              <m:opEmu m:val="1"/>
              <m:ctrlPr>
                <w:rPr>
                  <w:rFonts w:ascii="Cambria Math" w:eastAsiaTheme="minorEastAsia" w:hAnsi="Cambria Math"/>
                </w:rPr>
              </m:ctrlPr>
            </m:boxPr>
            <m:e>
              <m:groupChr>
                <m:groupChrPr>
                  <m:chr m:val="→"/>
                  <m:vertJc m:val="bot"/>
                  <m:ctrlPr>
                    <w:rPr>
                      <w:rFonts w:ascii="Cambria Math" w:eastAsiaTheme="minorEastAsia" w:hAnsi="Cambria Math"/>
                    </w:rPr>
                  </m:ctrlPr>
                </m:groupChr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groupChr>
            </m:e>
          </m:box>
          <m:sSubSup>
            <m:sSubSupPr>
              <m:ctrlPr>
                <w:rPr>
                  <w:rFonts w:ascii="Cambria Math" w:eastAsiaTheme="minorEastAsia" w:hAnsi="Cambria Math"/>
                </w:rPr>
              </m:ctrlPr>
            </m:sSubSupPr>
            <m:e>
              <m:r>
                <m:rPr>
                  <m:sty m:val="p"/>
                </m:rPr>
                <w:rPr>
                  <w:rFonts w:ascii="Cambria Math" w:eastAsiaTheme="minorEastAsia" w:hAnsi="Cambria Math"/>
                </w:rPr>
                <m:t>NH</m:t>
              </m:r>
            </m:e>
            <m:sub>
              <m:r>
                <m:rPr>
                  <m:sty m:val="p"/>
                </m:rPr>
                <w:rPr>
                  <w:rFonts w:ascii="Cambria Math" w:eastAsiaTheme="minorEastAsia" w:hAnsi="Cambria Math"/>
                </w:rPr>
                <m:t>4 (aq)</m:t>
              </m:r>
            </m:sub>
            <m:sup>
              <m:r>
                <m:rPr>
                  <m:sty m:val="p"/>
                </m:rPr>
                <w:rPr>
                  <w:rFonts w:ascii="Cambria Math" w:eastAsiaTheme="minorEastAsia" w:hAnsi="Cambria Math"/>
                </w:rPr>
                <m:t>+</m:t>
              </m:r>
            </m:sup>
          </m:sSubSup>
          <m:r>
            <m:rPr>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Cl</m:t>
              </m:r>
            </m:e>
            <m:sub>
              <m:r>
                <m:rPr>
                  <m:sty m:val="p"/>
                </m:rPr>
                <w:rPr>
                  <w:rFonts w:ascii="Cambria Math" w:eastAsiaTheme="minorEastAsia" w:hAnsi="Cambria Math"/>
                </w:rPr>
                <m:t>(aq)</m:t>
              </m:r>
            </m:sub>
            <m:sup>
              <m:r>
                <m:rPr>
                  <m:sty m:val="p"/>
                </m:rPr>
                <w:rPr>
                  <w:rFonts w:ascii="Cambria Math" w:eastAsiaTheme="minorEastAsia" w:hAnsi="Cambria Math"/>
                </w:rPr>
                <m:t>-</m:t>
              </m:r>
            </m:sup>
          </m:sSubSup>
        </m:oMath>
      </m:oMathPara>
    </w:p>
    <w:p w:rsidR="001C518C" w:rsidRPr="00604E3F" w:rsidRDefault="001C518C" w:rsidP="001C518C">
      <w:pPr>
        <w:tabs>
          <w:tab w:val="left" w:pos="1701"/>
          <w:tab w:val="left" w:pos="1985"/>
        </w:tabs>
        <w:ind w:left="1985" w:hanging="1985"/>
        <w:contextualSpacing/>
        <w:rPr>
          <w:rFonts w:asciiTheme="minorHAnsi" w:eastAsiaTheme="minorEastAsia" w:hAnsiTheme="minorHAnsi"/>
        </w:rPr>
      </w:pPr>
      <m:oMathPara>
        <m:oMath>
          <m:r>
            <m:rPr>
              <m:sty m:val="p"/>
            </m:rPr>
            <w:rPr>
              <w:rFonts w:ascii="Cambria Math" w:eastAsiaTheme="minorEastAsia" w:hAnsi="Cambria Math"/>
            </w:rPr>
            <m:t>Na</m:t>
          </m:r>
          <m:sSub>
            <m:sSubPr>
              <m:ctrlPr>
                <w:rPr>
                  <w:rFonts w:ascii="Cambria Math" w:eastAsiaTheme="minorEastAsia" w:hAnsi="Cambria Math"/>
                </w:rPr>
              </m:ctrlPr>
            </m:sSubPr>
            <m:e>
              <m:r>
                <m:rPr>
                  <m:sty m:val="p"/>
                </m:rPr>
                <w:rPr>
                  <w:rFonts w:ascii="Cambria Math" w:eastAsiaTheme="minorEastAsia" w:hAnsi="Cambria Math"/>
                </w:rPr>
                <m:t>CH</m:t>
              </m:r>
            </m:e>
            <m:sub>
              <m:r>
                <m:rPr>
                  <m:sty m:val="p"/>
                </m:rPr>
                <w:rPr>
                  <w:rFonts w:ascii="Cambria Math" w:eastAsiaTheme="minorEastAsia" w:hAnsi="Cambria Math"/>
                </w:rPr>
                <m:t>3</m:t>
              </m:r>
            </m:sub>
          </m:sSub>
          <m:sSub>
            <m:sSubPr>
              <m:ctrlPr>
                <w:rPr>
                  <w:rFonts w:ascii="Cambria Math" w:eastAsiaTheme="minorEastAsia" w:hAnsi="Cambria Math"/>
                </w:rPr>
              </m:ctrlPr>
            </m:sSubPr>
            <m:e>
              <m:r>
                <m:rPr>
                  <m:sty m:val="p"/>
                </m:rPr>
                <w:rPr>
                  <w:rFonts w:ascii="Cambria Math" w:eastAsiaTheme="minorEastAsia" w:hAnsi="Cambria Math"/>
                </w:rPr>
                <m:t>COO</m:t>
              </m:r>
            </m:e>
            <m:sub>
              <m:r>
                <m:rPr>
                  <m:sty m:val="p"/>
                </m:rPr>
                <w:rPr>
                  <w:rFonts w:ascii="Cambria Math" w:eastAsiaTheme="minorEastAsia" w:hAnsi="Cambria Math"/>
                </w:rPr>
                <m:t>(s)</m:t>
              </m:r>
            </m:sub>
          </m:sSub>
          <m:box>
            <m:boxPr>
              <m:opEmu m:val="1"/>
              <m:ctrlPr>
                <w:rPr>
                  <w:rFonts w:ascii="Cambria Math" w:eastAsiaTheme="minorEastAsia" w:hAnsi="Cambria Math"/>
                </w:rPr>
              </m:ctrlPr>
            </m:boxPr>
            <m:e>
              <m:groupChr>
                <m:groupChrPr>
                  <m:chr m:val="→"/>
                  <m:vertJc m:val="bot"/>
                  <m:ctrlPr>
                    <w:rPr>
                      <w:rFonts w:ascii="Cambria Math" w:eastAsiaTheme="minorEastAsia" w:hAnsi="Cambria Math"/>
                    </w:rPr>
                  </m:ctrlPr>
                </m:groupChr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groupChr>
            </m:e>
          </m:box>
          <m:sSubSup>
            <m:sSubSupPr>
              <m:ctrlPr>
                <w:rPr>
                  <w:rFonts w:ascii="Cambria Math" w:eastAsiaTheme="minorEastAsia" w:hAnsi="Cambria Math"/>
                </w:rPr>
              </m:ctrlPr>
            </m:sSubSupPr>
            <m:e>
              <m:r>
                <m:rPr>
                  <m:sty m:val="p"/>
                </m:rPr>
                <w:rPr>
                  <w:rFonts w:ascii="Cambria Math" w:eastAsiaTheme="minorEastAsia" w:hAnsi="Cambria Math"/>
                </w:rPr>
                <m:t>Na</m:t>
              </m:r>
            </m:e>
            <m:sub>
              <m:r>
                <m:rPr>
                  <m:sty m:val="p"/>
                </m:rPr>
                <w:rPr>
                  <w:rFonts w:ascii="Cambria Math" w:eastAsiaTheme="minorEastAsia" w:hAnsi="Cambria Math"/>
                </w:rPr>
                <m:t xml:space="preserve"> (aq)</m:t>
              </m:r>
            </m:sub>
            <m:sup>
              <m:r>
                <m:rPr>
                  <m:sty m:val="p"/>
                </m:rPr>
                <w:rPr>
                  <w:rFonts w:ascii="Cambria Math" w:eastAsiaTheme="minorEastAsia" w:hAnsi="Cambria Math"/>
                </w:rPr>
                <m:t>+</m:t>
              </m:r>
            </m:sup>
          </m:sSubSup>
          <m:r>
            <m:rPr>
              <m:sty m:val="p"/>
            </m:rPr>
            <w:rPr>
              <w:rFonts w:ascii="Cambria Math" w:eastAsiaTheme="minorEastAsia" w:hAnsi="Cambria Math"/>
            </w:rPr>
            <m:t>+</m:t>
          </m:r>
          <m:sSubSup>
            <m:sSubSupPr>
              <m:ctrlPr>
                <w:rPr>
                  <w:rFonts w:ascii="Cambria Math" w:eastAsiaTheme="minorEastAsia" w:hAnsi="Cambria Math"/>
                </w:rPr>
              </m:ctrlPr>
            </m:sSubSupPr>
            <m:e>
              <m:sSub>
                <m:sSubPr>
                  <m:ctrlPr>
                    <w:rPr>
                      <w:rFonts w:ascii="Cambria Math" w:eastAsiaTheme="minorEastAsia" w:hAnsi="Cambria Math"/>
                    </w:rPr>
                  </m:ctrlPr>
                </m:sSubPr>
                <m:e>
                  <m:r>
                    <m:rPr>
                      <m:sty m:val="p"/>
                    </m:rPr>
                    <w:rPr>
                      <w:rFonts w:ascii="Cambria Math" w:eastAsiaTheme="minorEastAsia" w:hAnsi="Cambria Math"/>
                    </w:rPr>
                    <m:t>CH</m:t>
                  </m:r>
                </m:e>
                <m:sub>
                  <m:r>
                    <m:rPr>
                      <m:sty m:val="p"/>
                    </m:rPr>
                    <w:rPr>
                      <w:rFonts w:ascii="Cambria Math" w:eastAsiaTheme="minorEastAsia" w:hAnsi="Cambria Math"/>
                    </w:rPr>
                    <m:t>3</m:t>
                  </m:r>
                </m:sub>
              </m:sSub>
              <m:r>
                <m:rPr>
                  <m:sty m:val="p"/>
                </m:rPr>
                <w:rPr>
                  <w:rFonts w:ascii="Cambria Math" w:eastAsiaTheme="minorEastAsia" w:hAnsi="Cambria Math"/>
                </w:rPr>
                <m:t>COO</m:t>
              </m:r>
            </m:e>
            <m:sub>
              <m:r>
                <m:rPr>
                  <m:sty m:val="p"/>
                </m:rPr>
                <w:rPr>
                  <w:rFonts w:ascii="Cambria Math" w:eastAsiaTheme="minorEastAsia" w:hAnsi="Cambria Math"/>
                </w:rPr>
                <m:t>(aq)</m:t>
              </m:r>
            </m:sub>
            <m:sup>
              <m:r>
                <m:rPr>
                  <m:sty m:val="p"/>
                </m:rPr>
                <w:rPr>
                  <w:rFonts w:ascii="Cambria Math" w:eastAsiaTheme="minorEastAsia" w:hAnsi="Cambria Math"/>
                </w:rPr>
                <m:t>-</m:t>
              </m:r>
            </m:sup>
          </m:sSubSup>
        </m:oMath>
      </m:oMathPara>
    </w:p>
    <w:p w:rsidR="001C518C" w:rsidRPr="00504F45" w:rsidRDefault="00A42340" w:rsidP="001C518C">
      <w:pPr>
        <w:tabs>
          <w:tab w:val="left" w:pos="1701"/>
          <w:tab w:val="left" w:pos="1985"/>
        </w:tabs>
        <w:ind w:left="1985" w:hanging="1985"/>
        <w:contextualSpacing/>
        <w:rPr>
          <w:rFonts w:asciiTheme="minorHAnsi" w:eastAsiaTheme="minorEastAsia" w:hAnsiTheme="minorHAnsi"/>
        </w:rPr>
      </w:pPr>
      <m:oMathPara>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(l)</m:t>
              </m:r>
            </m:sub>
          </m:sSub>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(aq)</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OH</m:t>
              </m:r>
            </m:e>
            <m:sub>
              <m:r>
                <w:rPr>
                  <w:rFonts w:ascii="Cambria Math" w:eastAsiaTheme="minorEastAsia" w:hAnsi="Cambria Math"/>
                </w:rPr>
                <m:t>(aq)</m:t>
              </m:r>
            </m:sub>
            <m:sup>
              <m:r>
                <w:rPr>
                  <w:rFonts w:ascii="Cambria Math" w:eastAsiaTheme="minorEastAsia" w:hAnsi="Cambria Math"/>
                </w:rPr>
                <m:t>-</m:t>
              </m:r>
            </m:sup>
          </m:sSubSup>
        </m:oMath>
      </m:oMathPara>
    </w:p>
    <w:p w:rsidR="001C518C" w:rsidRDefault="001C518C" w:rsidP="001C518C">
      <w:pPr>
        <w:tabs>
          <w:tab w:val="left" w:pos="1701"/>
          <w:tab w:val="left" w:pos="1985"/>
        </w:tabs>
        <w:ind w:left="1985" w:hanging="1985"/>
        <w:contextualSpacing/>
        <w:rPr>
          <w:rFonts w:asciiTheme="minorHAnsi" w:eastAsiaTheme="minorEastAsia" w:hAnsiTheme="minorHAnsi"/>
        </w:rPr>
      </w:pPr>
      <w:r>
        <w:rPr>
          <w:rFonts w:asciiTheme="minorHAnsi" w:eastAsiaTheme="minorEastAsia" w:hAnsiTheme="minorHAnsi"/>
        </w:rPr>
        <w:tab/>
      </w:r>
      <w:r>
        <w:rPr>
          <w:rFonts w:asciiTheme="minorHAnsi" w:eastAsiaTheme="minorEastAsia" w:hAnsiTheme="minorHAnsi"/>
        </w:rPr>
        <w:tab/>
      </w:r>
      <w:proofErr w:type="spellStart"/>
      <w:r>
        <w:rPr>
          <w:rFonts w:asciiTheme="minorHAnsi" w:eastAsiaTheme="minorEastAsia" w:hAnsiTheme="minorHAnsi"/>
        </w:rPr>
        <w:t>Ammoniumionen</w:t>
      </w:r>
      <w:proofErr w:type="spellEnd"/>
      <w:r>
        <w:rPr>
          <w:rFonts w:asciiTheme="minorHAnsi" w:eastAsiaTheme="minorEastAsia" w:hAnsiTheme="minorHAnsi"/>
        </w:rPr>
        <w:t xml:space="preserve"> sind </w:t>
      </w:r>
      <w:proofErr w:type="spellStart"/>
      <w:r>
        <w:rPr>
          <w:rFonts w:asciiTheme="minorHAnsi" w:eastAsiaTheme="minorEastAsia" w:hAnsiTheme="minorHAnsi"/>
        </w:rPr>
        <w:t>Protonendonatoren</w:t>
      </w:r>
      <w:proofErr w:type="spellEnd"/>
      <w:r>
        <w:rPr>
          <w:rFonts w:asciiTheme="minorHAnsi" w:eastAsiaTheme="minorEastAsia" w:hAnsiTheme="minorHAnsi"/>
        </w:rPr>
        <w:t>, diese geben Protonen an Wassermoleküle ab, wodurch die Lösung sauer wird:</w:t>
      </w:r>
    </w:p>
    <w:p w:rsidR="001C518C" w:rsidRDefault="00A42340" w:rsidP="001C518C">
      <w:pPr>
        <w:tabs>
          <w:tab w:val="left" w:pos="1701"/>
          <w:tab w:val="left" w:pos="1985"/>
        </w:tabs>
        <w:ind w:left="1985" w:hanging="1985"/>
        <w:contextualSpacing/>
        <w:rPr>
          <w:rFonts w:asciiTheme="minorHAnsi" w:eastAsiaTheme="minorEastAsia" w:hAnsiTheme="minorHAnsi"/>
        </w:rPr>
      </w:pPr>
      <m:oMathPara>
        <m:oMath>
          <m:sSubSup>
            <m:sSubSupPr>
              <m:ctrlPr>
                <w:rPr>
                  <w:rFonts w:ascii="Cambria Math" w:eastAsiaTheme="minorEastAsia" w:hAnsi="Cambria Math"/>
                </w:rPr>
              </m:ctrlPr>
            </m:sSubSupPr>
            <m:e>
              <m:r>
                <m:rPr>
                  <m:sty m:val="p"/>
                </m:rPr>
                <w:rPr>
                  <w:rFonts w:ascii="Cambria Math" w:eastAsiaTheme="minorEastAsia" w:hAnsi="Cambria Math"/>
                </w:rPr>
                <m:t>NH</m:t>
              </m:r>
            </m:e>
            <m:sub>
              <m:r>
                <m:rPr>
                  <m:sty m:val="p"/>
                </m:rPr>
                <w:rPr>
                  <w:rFonts w:ascii="Cambria Math" w:eastAsiaTheme="minorEastAsia" w:hAnsi="Cambria Math"/>
                </w:rPr>
                <m:t>4 (aq)</m:t>
              </m:r>
            </m:sub>
            <m:sup>
              <m:r>
                <m:rPr>
                  <m:sty m:val="p"/>
                </m:rPr>
                <w:rPr>
                  <w:rFonts w:ascii="Cambria Math" w:eastAsiaTheme="minorEastAsia" w:hAnsi="Cambria Math"/>
                </w:rPr>
                <m:t>+</m:t>
              </m:r>
            </m:sup>
          </m:sSubSup>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(l)</m:t>
              </m:r>
            </m:sub>
          </m:sSub>
          <m:groupChr>
            <m:groupChrPr>
              <m:chr m:val="→"/>
              <m:vertJc m:val="bot"/>
              <m:ctrlPr>
                <w:rPr>
                  <w:rFonts w:ascii="Cambria Math" w:eastAsiaTheme="minorEastAsia" w:hAnsi="Cambria Math"/>
                  <w:i/>
                </w:rPr>
              </m:ctrlPr>
            </m:groupChrPr>
            <m:e/>
          </m:groupChr>
          <m:sSub>
            <m:sSubPr>
              <m:ctrlPr>
                <w:rPr>
                  <w:rFonts w:ascii="Cambria Math" w:eastAsiaTheme="minorEastAsia" w:hAnsi="Cambria Math"/>
                  <w:i/>
                </w:rPr>
              </m:ctrlPr>
            </m:sSubPr>
            <m:e>
              <m:r>
                <w:rPr>
                  <w:rFonts w:ascii="Cambria Math" w:eastAsiaTheme="minorEastAsia" w:hAnsi="Cambria Math"/>
                </w:rPr>
                <m:t>NH</m:t>
              </m:r>
            </m:e>
            <m:sub>
              <m:r>
                <w:rPr>
                  <w:rFonts w:ascii="Cambria Math" w:eastAsiaTheme="minorEastAsia" w:hAnsi="Cambria Math"/>
                </w:rPr>
                <m:t>3(aq)</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(aq)</m:t>
              </m:r>
            </m:sub>
            <m:sup>
              <m:r>
                <w:rPr>
                  <w:rFonts w:ascii="Cambria Math" w:eastAsiaTheme="minorEastAsia" w:hAnsi="Cambria Math"/>
                </w:rPr>
                <m:t>+</m:t>
              </m:r>
            </m:sup>
          </m:sSubSup>
        </m:oMath>
      </m:oMathPara>
    </w:p>
    <w:p w:rsidR="001C518C" w:rsidRDefault="001C518C" w:rsidP="001C518C">
      <w:pPr>
        <w:tabs>
          <w:tab w:val="left" w:pos="1701"/>
          <w:tab w:val="left" w:pos="1985"/>
        </w:tabs>
        <w:ind w:left="1985" w:hanging="1985"/>
        <w:contextualSpacing/>
        <w:rPr>
          <w:rFonts w:asciiTheme="minorHAnsi" w:eastAsiaTheme="minorEastAsia" w:hAnsiTheme="minorHAnsi"/>
        </w:rPr>
      </w:pPr>
      <w:r>
        <w:rPr>
          <w:rFonts w:asciiTheme="minorHAnsi" w:eastAsiaTheme="minorEastAsia" w:hAnsiTheme="minorHAnsi"/>
        </w:rPr>
        <w:tab/>
      </w:r>
      <w:r>
        <w:rPr>
          <w:rFonts w:asciiTheme="minorHAnsi" w:eastAsiaTheme="minorEastAsia" w:hAnsiTheme="minorHAnsi"/>
        </w:rPr>
        <w:tab/>
        <w:t xml:space="preserve"> </w:t>
      </w:r>
      <w:proofErr w:type="spellStart"/>
      <w:r>
        <w:rPr>
          <w:rFonts w:asciiTheme="minorHAnsi" w:eastAsiaTheme="minorEastAsia" w:hAnsiTheme="minorHAnsi"/>
        </w:rPr>
        <w:t>Acetationen</w:t>
      </w:r>
      <w:proofErr w:type="spellEnd"/>
      <w:r>
        <w:rPr>
          <w:rFonts w:asciiTheme="minorHAnsi" w:eastAsiaTheme="minorEastAsia" w:hAnsiTheme="minorHAnsi"/>
        </w:rPr>
        <w:t xml:space="preserve"> hingegen sind Protonenakzeptoren, die Protonen aus der Autoprotolyse des Wassers aufnehmen, wodurch die Lösung basisch wird:</w:t>
      </w:r>
    </w:p>
    <w:p w:rsidR="001C518C" w:rsidRDefault="00A42340" w:rsidP="001C518C">
      <w:pPr>
        <w:tabs>
          <w:tab w:val="left" w:pos="1701"/>
          <w:tab w:val="left" w:pos="1985"/>
        </w:tabs>
        <w:ind w:left="1985" w:hanging="1985"/>
        <w:contextualSpacing/>
        <w:rPr>
          <w:rFonts w:asciiTheme="minorHAnsi" w:eastAsiaTheme="minorEastAsia" w:hAnsiTheme="minorHAnsi"/>
        </w:rPr>
      </w:pPr>
      <m:oMathPara>
        <m:oMath>
          <m:sSubSup>
            <m:sSubSupPr>
              <m:ctrlPr>
                <w:rPr>
                  <w:rFonts w:ascii="Cambria Math" w:eastAsiaTheme="minorEastAsia" w:hAnsi="Cambria Math"/>
                </w:rPr>
              </m:ctrlPr>
            </m:sSubSupPr>
            <m:e>
              <m:sSub>
                <m:sSubPr>
                  <m:ctrlPr>
                    <w:rPr>
                      <w:rFonts w:ascii="Cambria Math" w:eastAsiaTheme="minorEastAsia" w:hAnsi="Cambria Math"/>
                    </w:rPr>
                  </m:ctrlPr>
                </m:sSubPr>
                <m:e>
                  <m:r>
                    <m:rPr>
                      <m:sty m:val="p"/>
                    </m:rPr>
                    <w:rPr>
                      <w:rFonts w:ascii="Cambria Math" w:eastAsiaTheme="minorEastAsia" w:hAnsi="Cambria Math"/>
                    </w:rPr>
                    <m:t>CH</m:t>
                  </m:r>
                </m:e>
                <m:sub>
                  <m:r>
                    <m:rPr>
                      <m:sty m:val="p"/>
                    </m:rPr>
                    <w:rPr>
                      <w:rFonts w:ascii="Cambria Math" w:eastAsiaTheme="minorEastAsia" w:hAnsi="Cambria Math"/>
                    </w:rPr>
                    <m:t>3</m:t>
                  </m:r>
                </m:sub>
              </m:sSub>
              <m:r>
                <m:rPr>
                  <m:sty m:val="p"/>
                </m:rPr>
                <w:rPr>
                  <w:rFonts w:ascii="Cambria Math" w:eastAsiaTheme="minorEastAsia" w:hAnsi="Cambria Math"/>
                </w:rPr>
                <m:t>COO</m:t>
              </m:r>
            </m:e>
            <m:sub>
              <m:r>
                <m:rPr>
                  <m:sty m:val="p"/>
                </m:rPr>
                <w:rPr>
                  <w:rFonts w:ascii="Cambria Math" w:eastAsiaTheme="minorEastAsia" w:hAnsi="Cambria Math"/>
                </w:rPr>
                <m:t>(aq)</m:t>
              </m:r>
            </m:sub>
            <m:sup>
              <m:r>
                <m:rPr>
                  <m:sty m:val="p"/>
                </m:rP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(aq)</m:t>
              </m:r>
            </m:sub>
            <m:sup>
              <m:r>
                <w:rPr>
                  <w:rFonts w:ascii="Cambria Math" w:eastAsiaTheme="minorEastAsia" w:hAnsi="Cambria Math"/>
                </w:rPr>
                <m:t>+</m:t>
              </m:r>
            </m:sup>
          </m:sSubSup>
          <m:groupChr>
            <m:groupChrPr>
              <m:chr m:val="→"/>
              <m:vertJc m:val="bot"/>
              <m:ctrlPr>
                <w:rPr>
                  <w:rFonts w:ascii="Cambria Math" w:eastAsiaTheme="minorEastAsia" w:hAnsi="Cambria Math"/>
                  <w:i/>
                </w:rPr>
              </m:ctrlPr>
            </m:groupChrPr>
            <m:e/>
          </m:groupChr>
          <m:sSub>
            <m:sSubPr>
              <m:ctrlPr>
                <w:rPr>
                  <w:rFonts w:ascii="Cambria Math" w:eastAsiaTheme="minorEastAsia" w:hAnsi="Cambria Math"/>
                </w:rPr>
              </m:ctrlPr>
            </m:sSubPr>
            <m:e>
              <m:r>
                <m:rPr>
                  <m:sty m:val="p"/>
                </m:rPr>
                <w:rPr>
                  <w:rFonts w:ascii="Cambria Math" w:eastAsiaTheme="minorEastAsia" w:hAnsi="Cambria Math"/>
                </w:rPr>
                <m:t>CH</m:t>
              </m:r>
            </m:e>
            <m:sub>
              <m:r>
                <m:rPr>
                  <m:sty m:val="p"/>
                </m:rPr>
                <w:rPr>
                  <w:rFonts w:ascii="Cambria Math" w:eastAsiaTheme="minorEastAsia" w:hAnsi="Cambria Math"/>
                </w:rPr>
                <m:t>3</m:t>
              </m:r>
            </m:sub>
          </m:sSub>
          <m:sSub>
            <m:sSubPr>
              <m:ctrlPr>
                <w:rPr>
                  <w:rFonts w:ascii="Cambria Math" w:eastAsiaTheme="minorEastAsia" w:hAnsi="Cambria Math"/>
                </w:rPr>
              </m:ctrlPr>
            </m:sSubPr>
            <m:e>
              <m:r>
                <m:rPr>
                  <m:sty m:val="p"/>
                </m:rPr>
                <w:rPr>
                  <w:rFonts w:ascii="Cambria Math" w:eastAsiaTheme="minorEastAsia" w:hAnsi="Cambria Math"/>
                </w:rPr>
                <m:t>COOH</m:t>
              </m:r>
            </m:e>
            <m:sub>
              <m:r>
                <m:rPr>
                  <m:sty m:val="p"/>
                </m:rPr>
                <w:rPr>
                  <w:rFonts w:ascii="Cambria Math" w:eastAsiaTheme="minorEastAsia" w:hAnsi="Cambria Math"/>
                </w:rPr>
                <m:t>(aq)</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(l)</m:t>
              </m:r>
            </m:sub>
          </m:sSub>
        </m:oMath>
      </m:oMathPara>
    </w:p>
    <w:p w:rsidR="001C518C" w:rsidRDefault="001C518C" w:rsidP="001C518C">
      <w:pPr>
        <w:tabs>
          <w:tab w:val="left" w:pos="1701"/>
          <w:tab w:val="left" w:pos="1985"/>
        </w:tabs>
        <w:ind w:left="1985" w:hanging="1985"/>
        <w:contextualSpacing/>
        <w:rPr>
          <w:rFonts w:asciiTheme="minorHAnsi" w:eastAsiaTheme="minorEastAsia" w:hAnsiTheme="minorHAnsi"/>
        </w:rPr>
      </w:pPr>
      <w:r>
        <w:rPr>
          <w:rFonts w:asciiTheme="minorHAnsi" w:eastAsiaTheme="minorEastAsia" w:hAnsiTheme="minorHAnsi"/>
        </w:rPr>
        <w:tab/>
      </w:r>
      <w:r>
        <w:rPr>
          <w:rFonts w:asciiTheme="minorHAnsi" w:eastAsiaTheme="minorEastAsia" w:hAnsiTheme="minorHAnsi"/>
        </w:rPr>
        <w:tab/>
        <w:t xml:space="preserve">Natrium- und Chloridionen sind weder </w:t>
      </w:r>
      <w:proofErr w:type="spellStart"/>
      <w:r>
        <w:rPr>
          <w:rFonts w:asciiTheme="minorHAnsi" w:eastAsiaTheme="minorEastAsia" w:hAnsiTheme="minorHAnsi"/>
        </w:rPr>
        <w:t>Protonendonatoren</w:t>
      </w:r>
      <w:proofErr w:type="spellEnd"/>
      <w:r>
        <w:rPr>
          <w:rFonts w:asciiTheme="minorHAnsi" w:eastAsiaTheme="minorEastAsia" w:hAnsiTheme="minorHAnsi"/>
        </w:rPr>
        <w:t xml:space="preserve"> noch –</w:t>
      </w:r>
      <w:proofErr w:type="spellStart"/>
      <w:r>
        <w:rPr>
          <w:rFonts w:asciiTheme="minorHAnsi" w:eastAsiaTheme="minorEastAsia" w:hAnsiTheme="minorHAnsi"/>
        </w:rPr>
        <w:t>akzeptoren</w:t>
      </w:r>
      <w:proofErr w:type="spellEnd"/>
      <w:r>
        <w:rPr>
          <w:rFonts w:asciiTheme="minorHAnsi" w:eastAsiaTheme="minorEastAsia" w:hAnsiTheme="minorHAnsi"/>
        </w:rPr>
        <w:t xml:space="preserve"> und haben somit keinen Einfluss auf den pH-Wert einer Lösung.</w:t>
      </w:r>
    </w:p>
    <w:p w:rsidR="001C518C" w:rsidRDefault="001C518C" w:rsidP="001C518C">
      <w:pPr>
        <w:tabs>
          <w:tab w:val="left" w:pos="1701"/>
          <w:tab w:val="left" w:pos="1985"/>
        </w:tabs>
        <w:ind w:left="1985" w:hanging="1985"/>
        <w:contextualSpacing/>
        <w:rPr>
          <w:rFonts w:asciiTheme="minorHAnsi" w:eastAsiaTheme="minorEastAsia" w:hAnsiTheme="minorHAnsi"/>
        </w:rPr>
      </w:pPr>
    </w:p>
    <w:p w:rsidR="001C518C" w:rsidRDefault="001C518C" w:rsidP="001C518C">
      <w:pPr>
        <w:tabs>
          <w:tab w:val="left" w:pos="1701"/>
          <w:tab w:val="left" w:pos="1985"/>
        </w:tabs>
        <w:ind w:left="1985" w:hanging="1985"/>
        <w:contextualSpacing/>
        <w:rPr>
          <w:rFonts w:asciiTheme="minorHAnsi" w:hAnsiTheme="minorHAnsi"/>
        </w:rPr>
      </w:pPr>
      <w:r w:rsidRPr="00810D5A">
        <w:rPr>
          <w:rFonts w:asciiTheme="minorHAnsi" w:hAnsiTheme="minorHAnsi"/>
        </w:rPr>
        <w:lastRenderedPageBreak/>
        <w:t>Entsorgung:</w:t>
      </w:r>
      <w:r w:rsidRPr="00810D5A">
        <w:rPr>
          <w:rFonts w:asciiTheme="minorHAnsi" w:hAnsiTheme="minorHAnsi"/>
        </w:rPr>
        <w:tab/>
      </w:r>
      <w:r>
        <w:rPr>
          <w:rFonts w:asciiTheme="minorHAnsi" w:hAnsiTheme="minorHAnsi"/>
        </w:rPr>
        <w:tab/>
        <w:t>Die Lösungen werden zusammengegeben und neutralisiert. Anschließend können sie über den Abfluss entsorgt werden</w:t>
      </w:r>
      <w:r w:rsidRPr="00810D5A">
        <w:rPr>
          <w:rFonts w:asciiTheme="minorHAnsi" w:hAnsiTheme="minorHAnsi"/>
        </w:rPr>
        <w:t>.</w:t>
      </w:r>
    </w:p>
    <w:p w:rsidR="001C518C" w:rsidRPr="00810D5A" w:rsidRDefault="001C518C" w:rsidP="001C518C">
      <w:pPr>
        <w:tabs>
          <w:tab w:val="left" w:pos="1701"/>
          <w:tab w:val="left" w:pos="1985"/>
        </w:tabs>
        <w:ind w:left="1985" w:hanging="1985"/>
        <w:contextualSpacing/>
        <w:rPr>
          <w:rFonts w:asciiTheme="minorHAnsi" w:hAnsiTheme="minorHAnsi"/>
        </w:rPr>
      </w:pPr>
    </w:p>
    <w:p w:rsidR="001C518C" w:rsidRDefault="001C518C" w:rsidP="001C518C">
      <w:pPr>
        <w:spacing w:line="276" w:lineRule="auto"/>
        <w:ind w:left="1985" w:hanging="1985"/>
        <w:contextualSpacing/>
        <w:jc w:val="left"/>
        <w:rPr>
          <w:rFonts w:asciiTheme="minorHAnsi" w:hAnsiTheme="minorHAnsi"/>
        </w:rPr>
      </w:pPr>
      <w:r>
        <w:rPr>
          <w:rFonts w:asciiTheme="minorHAnsi" w:hAnsiTheme="minorHAnsi"/>
        </w:rPr>
        <w:t>Literatur:</w:t>
      </w:r>
      <w:r>
        <w:rPr>
          <w:rFonts w:asciiTheme="minorHAnsi" w:hAnsiTheme="minorHAnsi"/>
        </w:rPr>
        <w:tab/>
        <w:t>[1] U</w:t>
      </w:r>
      <w:r w:rsidRPr="00810D5A">
        <w:rPr>
          <w:rFonts w:asciiTheme="minorHAnsi" w:hAnsiTheme="minorHAnsi"/>
        </w:rPr>
        <w:t xml:space="preserve">. </w:t>
      </w:r>
      <w:r>
        <w:rPr>
          <w:rFonts w:asciiTheme="minorHAnsi" w:hAnsiTheme="minorHAnsi"/>
        </w:rPr>
        <w:t>Helmich, Saure, neutrale und basische Salze -</w:t>
      </w:r>
      <w:r w:rsidRPr="00810D5A">
        <w:rPr>
          <w:rFonts w:asciiTheme="minorHAnsi" w:hAnsiTheme="minorHAnsi"/>
        </w:rPr>
        <w:t xml:space="preserve"> </w:t>
      </w:r>
      <w:r w:rsidRPr="00A2269E">
        <w:rPr>
          <w:rFonts w:asciiTheme="minorHAnsi" w:hAnsiTheme="minorHAnsi"/>
        </w:rPr>
        <w:t>http://www.u-helmich.de/che/Q1/inhaltsfeld-2-sb/3-sbpaare/indexSB-3.html</w:t>
      </w:r>
      <w:r>
        <w:rPr>
          <w:rFonts w:asciiTheme="minorHAnsi" w:hAnsiTheme="minorHAnsi"/>
        </w:rPr>
        <w:t>, 2016, (abgerufen: 31.08.2016)</w:t>
      </w:r>
    </w:p>
    <w:p w:rsidR="001C518C" w:rsidRDefault="001C518C" w:rsidP="001C518C">
      <w:pPr>
        <w:spacing w:line="276" w:lineRule="auto"/>
        <w:ind w:left="1985" w:hanging="1985"/>
        <w:contextualSpacing/>
        <w:jc w:val="left"/>
        <w:rPr>
          <w:rFonts w:asciiTheme="minorHAnsi" w:hAnsiTheme="minorHAnsi"/>
        </w:rPr>
      </w:pPr>
    </w:p>
    <w:p w:rsidR="001C518C" w:rsidRDefault="001C518C" w:rsidP="001C518C">
      <w:pPr>
        <w:spacing w:line="276" w:lineRule="auto"/>
        <w:ind w:left="851" w:hanging="851"/>
        <w:contextualSpacing/>
        <w:jc w:val="left"/>
        <w:rPr>
          <w:rFonts w:asciiTheme="minorHAnsi" w:hAnsiTheme="minorHAnsi"/>
        </w:rPr>
      </w:pPr>
      <w:r w:rsidRPr="00810D5A">
        <w:rPr>
          <w:rFonts w:asciiTheme="minorHAnsi" w:hAnsiTheme="minorHAnsi"/>
          <w:noProof/>
          <w:lang w:eastAsia="de-DE"/>
        </w:rPr>
        <mc:AlternateContent>
          <mc:Choice Requires="wps">
            <w:drawing>
              <wp:inline distT="0" distB="0" distL="0" distR="0" wp14:anchorId="28972D5F" wp14:editId="4AB46071">
                <wp:extent cx="5873115" cy="573405"/>
                <wp:effectExtent l="10795" t="10795" r="12065" b="15875"/>
                <wp:docPr id="4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7340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C518C" w:rsidRPr="00A259A9" w:rsidRDefault="001C518C" w:rsidP="001C518C">
                            <w:pPr>
                              <w:rPr>
                                <w:color w:val="auto"/>
                              </w:rPr>
                            </w:pPr>
                            <w:r>
                              <w:rPr>
                                <w:b/>
                                <w:color w:val="auto"/>
                              </w:rPr>
                              <w:t xml:space="preserve">Unterrichtsanschlüsse: </w:t>
                            </w:r>
                            <w:r>
                              <w:rPr>
                                <w:color w:val="auto"/>
                              </w:rPr>
                              <w:t xml:space="preserve">Dieser Versuch kann zum Ende der Unterrichtseinheit durchgeführt werden, um auf das Säure-Base-Konzept von </w:t>
                            </w:r>
                            <w:proofErr w:type="spellStart"/>
                            <w:r>
                              <w:rPr>
                                <w:color w:val="auto"/>
                              </w:rPr>
                              <w:t>Brönsted</w:t>
                            </w:r>
                            <w:proofErr w:type="spellEnd"/>
                            <w:r>
                              <w:rPr>
                                <w:color w:val="auto"/>
                              </w:rPr>
                              <w:t xml:space="preserve"> hinzuleiten.</w:t>
                            </w:r>
                          </w:p>
                        </w:txbxContent>
                      </wps:txbx>
                      <wps:bodyPr rot="0" vert="horz" wrap="square" lIns="91440" tIns="45720" rIns="91440" bIns="45720" anchor="t" anchorCtr="0" upright="1">
                        <a:noAutofit/>
                      </wps:bodyPr>
                    </wps:wsp>
                  </a:graphicData>
                </a:graphic>
              </wp:inline>
            </w:drawing>
          </mc:Choice>
          <mc:Fallback>
            <w:pict>
              <v:shape w14:anchorId="28972D5F" id="Text Box 135" o:spid="_x0000_s1027" type="#_x0000_t202" style="width:462.45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" fillcolor="white [3201]" strokecolor="#ed7d31 [3205]" strokeweight="1pt">
                <v:stroke dashstyle="dash"/>
                <v:shadow color="#868686"/>
                <v:textbox>
                  <w:txbxContent>
                    <w:p w:rsidR="001C518C" w:rsidRPr="00A259A9" w:rsidRDefault="001C518C" w:rsidP="001C518C">
                      <w:pPr>
                        <w:rPr>
                          <w:color w:val="auto"/>
                        </w:rPr>
                      </w:pPr>
                      <w:r>
                        <w:rPr>
                          <w:b/>
                          <w:color w:val="auto"/>
                        </w:rPr>
                        <w:t xml:space="preserve">Unterrichtsanschlüsse: </w:t>
                      </w:r>
                      <w:r>
                        <w:rPr>
                          <w:color w:val="auto"/>
                        </w:rPr>
                        <w:t xml:space="preserve">Dieser Versuch kann zum Ende der Unterrichtseinheit durchgeführt werden, um auf das Säure-Base-Konzept von </w:t>
                      </w:r>
                      <w:proofErr w:type="spellStart"/>
                      <w:r>
                        <w:rPr>
                          <w:color w:val="auto"/>
                        </w:rPr>
                        <w:t>Brönsted</w:t>
                      </w:r>
                      <w:proofErr w:type="spellEnd"/>
                      <w:r>
                        <w:rPr>
                          <w:color w:val="auto"/>
                        </w:rPr>
                        <w:t xml:space="preserve"> hinzuleiten.</w:t>
                      </w:r>
                    </w:p>
                  </w:txbxContent>
                </v:textbox>
                <w10:anchorlock/>
              </v:shape>
            </w:pict>
          </mc:Fallback>
        </mc:AlternateContent>
      </w:r>
    </w:p>
    <w:p w:rsidR="001C518C" w:rsidRPr="00810D5A" w:rsidRDefault="001C518C" w:rsidP="001C518C">
      <w:pPr>
        <w:spacing w:line="276" w:lineRule="auto"/>
        <w:ind w:left="851" w:hanging="851"/>
        <w:contextualSpacing/>
        <w:jc w:val="left"/>
        <w:rPr>
          <w:rFonts w:asciiTheme="minorHAnsi" w:hAnsiTheme="minorHAnsi"/>
        </w:rPr>
      </w:pPr>
    </w:p>
    <w:p w:rsidR="00D73F5D" w:rsidRPr="001C518C" w:rsidRDefault="00D73F5D" w:rsidP="001C518C"/>
    <w:sectPr w:rsidR="00D73F5D" w:rsidRPr="001C518C">
      <w:footerReference w:type="defaul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340" w:rsidRDefault="00A42340">
      <w:pPr>
        <w:spacing w:after="0" w:line="240" w:lineRule="auto"/>
      </w:pPr>
      <w:r>
        <w:separator/>
      </w:r>
    </w:p>
  </w:endnote>
  <w:endnote w:type="continuationSeparator" w:id="0">
    <w:p w:rsidR="00A42340" w:rsidRDefault="00A4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02337"/>
      <w:docPartObj>
        <w:docPartGallery w:val="Page Numbers (Bottom of Page)"/>
        <w:docPartUnique/>
      </w:docPartObj>
    </w:sdtPr>
    <w:sdtEndPr/>
    <w:sdtContent>
      <w:p w:rsidR="0099183C" w:rsidRDefault="00E4511E">
        <w:pPr>
          <w:pStyle w:val="Fuzeile"/>
          <w:jc w:val="center"/>
        </w:pPr>
        <w:r>
          <w:fldChar w:fldCharType="begin"/>
        </w:r>
        <w:r>
          <w:instrText>PAGE   \* MERGEFORMAT</w:instrText>
        </w:r>
        <w:r>
          <w:fldChar w:fldCharType="separate"/>
        </w:r>
        <w:r w:rsidR="005712DC">
          <w:rPr>
            <w:noProof/>
          </w:rPr>
          <w:t>3</w:t>
        </w:r>
        <w:r>
          <w:fldChar w:fldCharType="end"/>
        </w:r>
      </w:p>
    </w:sdtContent>
  </w:sdt>
  <w:p w:rsidR="0099183C" w:rsidRDefault="00A4234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3C" w:rsidRDefault="00A42340">
    <w:pPr>
      <w:pStyle w:val="Fuzeile"/>
      <w:jc w:val="center"/>
    </w:pPr>
  </w:p>
  <w:p w:rsidR="0099183C" w:rsidRDefault="00A4234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340" w:rsidRDefault="00A42340">
      <w:pPr>
        <w:spacing w:after="0" w:line="240" w:lineRule="auto"/>
      </w:pPr>
      <w:r>
        <w:separator/>
      </w:r>
    </w:p>
  </w:footnote>
  <w:footnote w:type="continuationSeparator" w:id="0">
    <w:p w:rsidR="00A42340" w:rsidRDefault="00A42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517F"/>
    <w:multiLevelType w:val="hybridMultilevel"/>
    <w:tmpl w:val="83560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6D7C6E50"/>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525D8E"/>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083A16"/>
    <w:rsid w:val="001C518C"/>
    <w:rsid w:val="001C7E4D"/>
    <w:rsid w:val="00240CE2"/>
    <w:rsid w:val="003143CC"/>
    <w:rsid w:val="0037579F"/>
    <w:rsid w:val="003B6E8D"/>
    <w:rsid w:val="003D42D3"/>
    <w:rsid w:val="003D4C1B"/>
    <w:rsid w:val="005712DC"/>
    <w:rsid w:val="005D72E7"/>
    <w:rsid w:val="00611594"/>
    <w:rsid w:val="007D4813"/>
    <w:rsid w:val="008F5648"/>
    <w:rsid w:val="00980F3F"/>
    <w:rsid w:val="00A3064F"/>
    <w:rsid w:val="00A42340"/>
    <w:rsid w:val="00C20C1B"/>
    <w:rsid w:val="00C443B4"/>
    <w:rsid w:val="00C563E6"/>
    <w:rsid w:val="00D73F5D"/>
    <w:rsid w:val="00E4511E"/>
    <w:rsid w:val="00E46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30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uiPriority w:val="9"/>
    <w:unhideWhenUsed/>
    <w:qFormat/>
    <w:rsid w:val="003D42D3"/>
    <w:pPr>
      <w:keepNext/>
      <w:keepLines/>
      <w:spacing w:before="40" w:after="0"/>
      <w:outlineLvl w:val="1"/>
    </w:pPr>
    <w:rPr>
      <w:rFonts w:eastAsia="MS Gothic" w:cstheme="majorBidi"/>
      <w:b/>
      <w:sz w:val="26"/>
      <w:szCs w:val="26"/>
    </w:rPr>
  </w:style>
  <w:style w:type="paragraph" w:styleId="berschrift3">
    <w:name w:val="heading 3"/>
    <w:basedOn w:val="Standard"/>
    <w:next w:val="Standard"/>
    <w:link w:val="berschrift3Zchn"/>
    <w:uiPriority w:val="9"/>
    <w:unhideWhenUsed/>
    <w:qFormat/>
    <w:rsid w:val="00980F3F"/>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80F3F"/>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80F3F"/>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80F3F"/>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80F3F"/>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0F3F"/>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0F3F"/>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 w:type="paragraph" w:styleId="Fuzeile">
    <w:name w:val="footer"/>
    <w:basedOn w:val="Standard"/>
    <w:link w:val="FuzeileZchn"/>
    <w:uiPriority w:val="99"/>
    <w:unhideWhenUsed/>
    <w:rsid w:val="00314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3CC"/>
    <w:rPr>
      <w:rFonts w:ascii="Cambria" w:hAnsi="Cambria"/>
      <w:color w:val="171717" w:themeColor="background2" w:themeShade="1A"/>
    </w:rPr>
  </w:style>
  <w:style w:type="character" w:customStyle="1" w:styleId="berschrift1Zchn">
    <w:name w:val="Überschrift 1 Zchn"/>
    <w:basedOn w:val="Absatz-Standardschriftart"/>
    <w:link w:val="berschrift1"/>
    <w:uiPriority w:val="9"/>
    <w:rsid w:val="00A3064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3064F"/>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30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64F"/>
    <w:rPr>
      <w:rFonts w:ascii="Cambria" w:hAnsi="Cambria"/>
      <w:color w:val="171717" w:themeColor="background2" w:themeShade="1A"/>
    </w:rPr>
  </w:style>
  <w:style w:type="character" w:customStyle="1" w:styleId="mw-mmv-title">
    <w:name w:val="mw-mmv-title"/>
    <w:basedOn w:val="Absatz-Standardschriftart"/>
    <w:rsid w:val="00A3064F"/>
  </w:style>
  <w:style w:type="character" w:styleId="HTMLZitat">
    <w:name w:val="HTML Cite"/>
    <w:basedOn w:val="Absatz-Standardschriftart"/>
    <w:uiPriority w:val="99"/>
    <w:semiHidden/>
    <w:unhideWhenUsed/>
    <w:rsid w:val="008F5648"/>
    <w:rPr>
      <w:i/>
      <w:iCs/>
    </w:rPr>
  </w:style>
  <w:style w:type="character" w:customStyle="1" w:styleId="berschrift3Zchn">
    <w:name w:val="Überschrift 3 Zchn"/>
    <w:basedOn w:val="Absatz-Standardschriftart"/>
    <w:link w:val="berschrift3"/>
    <w:uiPriority w:val="9"/>
    <w:rsid w:val="00980F3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80F3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80F3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80F3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80F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80F3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80F3F"/>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Absatz-Standardschriftart"/>
    <w:rsid w:val="0037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de.wikipedia.org/wiki/H-_und_P-S%C3%A4tze"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de.wikipedia.org/wiki/H-_und_P-S%C3%A4tze"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3224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4</cp:revision>
  <cp:lastPrinted>2016-08-11T06:34:00Z</cp:lastPrinted>
  <dcterms:created xsi:type="dcterms:W3CDTF">2016-08-09T06:54:00Z</dcterms:created>
  <dcterms:modified xsi:type="dcterms:W3CDTF">2016-08-11T06:35:00Z</dcterms:modified>
</cp:coreProperties>
</file>