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8093658"/>
    <w:bookmarkStart w:id="1" w:name="_GoBack"/>
    <w:bookmarkEnd w:id="1"/>
    <w:p w:rsidR="008C17A8" w:rsidRDefault="008C17A8" w:rsidP="008C17A8">
      <w:pPr>
        <w:pStyle w:val="berschrift2"/>
        <w:contextualSpacing/>
        <w:rPr>
          <w:rFonts w:asciiTheme="minorHAnsi" w:hAnsiTheme="minorHAnsi"/>
        </w:rPr>
      </w:pPr>
      <w:r w:rsidRPr="00810D5A">
        <w:rPr>
          <w:rFonts w:asciiTheme="minorHAnsi" w:hAnsiTheme="minorHAnsi"/>
          <w:noProof/>
          <w:lang w:eastAsia="de-DE"/>
        </w:rPr>
        <mc:AlternateContent>
          <mc:Choice Requires="wps">
            <w:drawing>
              <wp:anchor distT="0" distB="0" distL="114300" distR="114300" simplePos="0" relativeHeight="251659264" behindDoc="0" locked="0" layoutInCell="1" allowOverlap="1" wp14:anchorId="18051153" wp14:editId="157655E0">
                <wp:simplePos x="0" y="0"/>
                <wp:positionH relativeFrom="margin">
                  <wp:align>left</wp:align>
                </wp:positionH>
                <wp:positionV relativeFrom="paragraph">
                  <wp:posOffset>276860</wp:posOffset>
                </wp:positionV>
                <wp:extent cx="5873115" cy="1019175"/>
                <wp:effectExtent l="0" t="0" r="13335" b="28575"/>
                <wp:wrapSquare wrapText="bothSides"/>
                <wp:docPr id="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91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7A8" w:rsidRPr="00F31EBF" w:rsidRDefault="008C17A8" w:rsidP="008C17A8">
                            <w:pPr>
                              <w:rPr>
                                <w:color w:val="auto"/>
                              </w:rPr>
                            </w:pPr>
                            <w:r>
                              <w:rPr>
                                <w:color w:val="auto"/>
                              </w:rPr>
                              <w:t xml:space="preserve">Dieses Experiment dient zur Bestätigung des Säure-Base-Konzepts nach Arrhenius und stellt den historischen Gedankengang über die Erkenntnisse der Ionenbewegung dar. Die </w:t>
                            </w:r>
                            <w:proofErr w:type="spellStart"/>
                            <w:r>
                              <w:rPr>
                                <w:color w:val="auto"/>
                              </w:rPr>
                              <w:t>SuS</w:t>
                            </w:r>
                            <w:proofErr w:type="spellEnd"/>
                            <w:r>
                              <w:rPr>
                                <w:color w:val="auto"/>
                              </w:rPr>
                              <w:t xml:space="preserve"> sollten dazu das Prinzip einer Leitfähigkeitsprüfung kennen und bereits die Dissoziation von Salzen in Wasser behandelt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51153" id="_x0000_t202" coordsize="21600,21600" o:spt="202" path="m,l,21600r21600,l21600,xe">
                <v:stroke joinstyle="miter"/>
                <v:path gradientshapeok="t" o:connecttype="rect"/>
              </v:shapetype>
              <v:shape id="Text Box 138" o:spid="_x0000_s1026" type="#_x0000_t202" style="position:absolute;left:0;text-align:left;margin-left:0;margin-top:21.8pt;width:462.45pt;height:8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" fillcolor="white [3201]" strokecolor="#4472c4 [3208]" strokeweight="1pt">
                <v:stroke dashstyle="dash"/>
                <v:shadow color="#868686"/>
                <v:textbox>
                  <w:txbxContent>
                    <w:p w:rsidR="008C17A8" w:rsidRPr="00F31EBF" w:rsidRDefault="008C17A8" w:rsidP="008C17A8">
                      <w:pPr>
                        <w:rPr>
                          <w:color w:val="auto"/>
                        </w:rPr>
                      </w:pPr>
                      <w:r>
                        <w:rPr>
                          <w:color w:val="auto"/>
                        </w:rPr>
                        <w:t>Dieses Experiment dient zur Bestätigung des Säure-Base-Konzepts nach Arrhenius und stellt den historischen Gedankengang über die Erkenntnisse der Ionenbewegung dar. Die SuS sollten dazu das Prinzip einer Leitfähigkeitsprüfung kennen und bereits die Dissoziation von Salzen in Wasser behandelt haben.</w:t>
                      </w:r>
                    </w:p>
                  </w:txbxContent>
                </v:textbox>
                <w10:wrap type="square" anchorx="margin"/>
              </v:shape>
            </w:pict>
          </mc:Fallback>
        </mc:AlternateContent>
      </w:r>
      <w:r>
        <w:rPr>
          <w:rFonts w:asciiTheme="minorHAnsi" w:hAnsiTheme="minorHAnsi"/>
        </w:rPr>
        <w:t>V4 Leitfähigkeit von Chlorwasserstoff</w:t>
      </w:r>
      <w:bookmarkEnd w:id="0"/>
    </w:p>
    <w:p w:rsidR="008C17A8" w:rsidRPr="00B45F70" w:rsidRDefault="008C17A8" w:rsidP="008C17A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C17A8" w:rsidRPr="00810D5A" w:rsidTr="000B072C">
        <w:tc>
          <w:tcPr>
            <w:tcW w:w="9322" w:type="dxa"/>
            <w:gridSpan w:val="9"/>
            <w:shd w:val="clear" w:color="auto" w:fill="4F81BD"/>
            <w:vAlign w:val="center"/>
          </w:tcPr>
          <w:p w:rsidR="008C17A8" w:rsidRPr="00810D5A" w:rsidRDefault="008C17A8" w:rsidP="000B072C">
            <w:pPr>
              <w:spacing w:after="0"/>
              <w:contextualSpacing/>
              <w:jc w:val="center"/>
              <w:rPr>
                <w:rFonts w:asciiTheme="minorHAnsi" w:hAnsiTheme="minorHAnsi"/>
                <w:b/>
                <w:bCs/>
                <w:color w:val="FFFFFF" w:themeColor="background1"/>
              </w:rPr>
            </w:pPr>
            <w:r w:rsidRPr="00810D5A">
              <w:rPr>
                <w:rFonts w:asciiTheme="minorHAnsi" w:hAnsiTheme="minorHAnsi"/>
                <w:b/>
                <w:bCs/>
                <w:color w:val="FFFFFF" w:themeColor="background1"/>
              </w:rPr>
              <w:t>Gefahrenstoffe</w:t>
            </w:r>
          </w:p>
        </w:tc>
      </w:tr>
      <w:tr w:rsidR="008C17A8" w:rsidRPr="00810D5A"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C17A8" w:rsidRPr="00810D5A" w:rsidRDefault="008C17A8" w:rsidP="000B072C">
            <w:pPr>
              <w:spacing w:after="0" w:line="276" w:lineRule="auto"/>
              <w:contextualSpacing/>
              <w:jc w:val="center"/>
              <w:rPr>
                <w:rFonts w:asciiTheme="minorHAnsi" w:hAnsiTheme="minorHAnsi"/>
                <w:b/>
                <w:bCs/>
              </w:rPr>
            </w:pPr>
            <w:r>
              <w:rPr>
                <w:rFonts w:asciiTheme="minorHAnsi" w:hAnsiTheme="minorHAnsi"/>
                <w:sz w:val="20"/>
              </w:rPr>
              <w:t>Chlorwasserstoff</w:t>
            </w:r>
          </w:p>
        </w:tc>
        <w:tc>
          <w:tcPr>
            <w:tcW w:w="3177" w:type="dxa"/>
            <w:gridSpan w:val="3"/>
            <w:tcBorders>
              <w:top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sz w:val="20"/>
              </w:rPr>
              <w:t xml:space="preserve">H: </w:t>
            </w:r>
            <w:hyperlink r:id="rId7" w:anchor="H-S.C3.A4tze" w:tooltip="H- und P-Sätze" w:history="1">
              <w:r w:rsidRPr="00810D5A">
                <w:rPr>
                  <w:rStyle w:val="Hyperlink"/>
                  <w:rFonts w:asciiTheme="minorHAnsi" w:hAnsiTheme="minorHAnsi"/>
                  <w:color w:val="auto"/>
                  <w:sz w:val="20"/>
                </w:rPr>
                <w:t>33</w:t>
              </w:r>
            </w:hyperlink>
            <w:r>
              <w:rPr>
                <w:rStyle w:val="Hyperlink"/>
                <w:rFonts w:asciiTheme="minorHAnsi" w:hAnsiTheme="minorHAnsi"/>
                <w:color w:val="auto"/>
                <w:sz w:val="20"/>
              </w:rPr>
              <w:t>1</w:t>
            </w:r>
            <w:r w:rsidRPr="00810D5A">
              <w:rPr>
                <w:rFonts w:asciiTheme="minorHAnsi" w:hAnsiTheme="minorHAnsi"/>
                <w:sz w:val="20"/>
              </w:rPr>
              <w:t>-</w:t>
            </w:r>
            <w:hyperlink r:id="rId8" w:anchor="H-S.C3.A4tze" w:tooltip="H- und P-Sätze" w:history="1">
              <w:r w:rsidRPr="00810D5A">
                <w:rPr>
                  <w:rStyle w:val="Hyperlink"/>
                  <w:rFonts w:asciiTheme="minorHAnsi" w:hAnsiTheme="minorHAnsi"/>
                  <w:color w:val="auto"/>
                  <w:sz w:val="20"/>
                </w:rPr>
                <w:t>2</w:t>
              </w:r>
            </w:hyperlink>
            <w:r>
              <w:rPr>
                <w:rStyle w:val="Hyperlink"/>
                <w:rFonts w:asciiTheme="minorHAnsi" w:hAnsiTheme="minorHAnsi"/>
                <w:color w:val="auto"/>
                <w:sz w:val="20"/>
              </w:rPr>
              <w:t>80</w:t>
            </w:r>
            <w:r w:rsidRPr="00810D5A">
              <w:rPr>
                <w:rFonts w:asciiTheme="minorHAnsi" w:hAnsiTheme="minorHAnsi"/>
                <w:sz w:val="20"/>
              </w:rPr>
              <w:t>-</w:t>
            </w:r>
            <w:hyperlink r:id="rId9" w:anchor="H-S.C3.A4tze" w:tooltip="H- und P-Sätze" w:history="1">
              <w:r w:rsidRPr="00810D5A">
                <w:rPr>
                  <w:rStyle w:val="Hyperlink"/>
                  <w:rFonts w:asciiTheme="minorHAnsi" w:hAnsiTheme="minorHAnsi"/>
                  <w:color w:val="auto"/>
                  <w:sz w:val="20"/>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sz w:val="20"/>
              </w:rPr>
              <w:t xml:space="preserve">P: </w:t>
            </w:r>
            <w:hyperlink r:id="rId10" w:anchor="P-S.C3.A4tze" w:tooltip="H- und P-Sätze" w:history="1">
              <w:r w:rsidRPr="00810D5A">
                <w:rPr>
                  <w:rStyle w:val="Hyperlink"/>
                  <w:rFonts w:asciiTheme="minorHAnsi" w:hAnsiTheme="minorHAnsi"/>
                  <w:color w:val="auto"/>
                  <w:sz w:val="20"/>
                </w:rPr>
                <w:t>280</w:t>
              </w:r>
            </w:hyperlink>
            <w:r>
              <w:rPr>
                <w:rFonts w:asciiTheme="minorHAnsi" w:hAnsiTheme="minorHAnsi"/>
                <w:sz w:val="20"/>
              </w:rPr>
              <w:t xml:space="preserve">-260- </w:t>
            </w:r>
            <w:hyperlink r:id="rId11" w:anchor="P-S.C3.A4tze" w:tooltip="H- und P-Sätze" w:history="1">
              <w:r>
                <w:rPr>
                  <w:rStyle w:val="Hyperlink"/>
                  <w:rFonts w:asciiTheme="minorHAnsi" w:hAnsiTheme="minorHAnsi"/>
                  <w:color w:val="auto"/>
                  <w:sz w:val="20"/>
                </w:rPr>
                <w:t>304+34</w:t>
              </w:r>
              <w:r w:rsidRPr="00810D5A">
                <w:rPr>
                  <w:rStyle w:val="Hyperlink"/>
                  <w:rFonts w:asciiTheme="minorHAnsi" w:hAnsiTheme="minorHAnsi"/>
                  <w:color w:val="auto"/>
                  <w:sz w:val="20"/>
                </w:rPr>
                <w:t>0</w:t>
              </w:r>
            </w:hyperlink>
            <w:r>
              <w:rPr>
                <w:rStyle w:val="Hyperlink"/>
                <w:rFonts w:asciiTheme="minorHAnsi" w:hAnsiTheme="minorHAnsi"/>
                <w:color w:val="auto"/>
                <w:sz w:val="20"/>
              </w:rPr>
              <w:t>- 303+361+353- 305+351+338- 315- 405- 403</w:t>
            </w:r>
          </w:p>
        </w:tc>
      </w:tr>
      <w:tr w:rsidR="008C17A8" w:rsidRPr="00810D5A" w:rsidTr="000B072C">
        <w:trPr>
          <w:trHeight w:val="434"/>
        </w:trPr>
        <w:tc>
          <w:tcPr>
            <w:tcW w:w="3027" w:type="dxa"/>
            <w:gridSpan w:val="3"/>
            <w:tcBorders>
              <w:bottom w:val="single" w:sz="4" w:space="0" w:color="5B9BD5" w:themeColor="accent1"/>
            </w:tcBorders>
            <w:shd w:val="clear" w:color="auto" w:fill="auto"/>
            <w:vAlign w:val="center"/>
          </w:tcPr>
          <w:p w:rsidR="008C17A8" w:rsidRPr="00810D5A" w:rsidRDefault="008C17A8" w:rsidP="000B072C">
            <w:pPr>
              <w:spacing w:after="0" w:line="276" w:lineRule="auto"/>
              <w:contextualSpacing/>
              <w:jc w:val="center"/>
              <w:rPr>
                <w:rFonts w:asciiTheme="minorHAnsi" w:hAnsiTheme="minorHAnsi"/>
                <w:bCs/>
                <w:sz w:val="20"/>
              </w:rPr>
            </w:pPr>
            <w:r>
              <w:rPr>
                <w:rFonts w:asciiTheme="minorHAnsi" w:hAnsiTheme="minorHAnsi"/>
                <w:color w:val="auto"/>
                <w:sz w:val="20"/>
                <w:szCs w:val="20"/>
              </w:rPr>
              <w:t>Aceton</w:t>
            </w:r>
          </w:p>
        </w:tc>
        <w:tc>
          <w:tcPr>
            <w:tcW w:w="3177" w:type="dxa"/>
            <w:gridSpan w:val="3"/>
            <w:tcBorders>
              <w:bottom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H: </w:t>
            </w:r>
            <w:hyperlink r:id="rId12" w:anchor="H-S.C3.A4tze" w:tooltip="H- und P-Sätze" w:history="1">
              <w:r w:rsidRPr="00810D5A">
                <w:rPr>
                  <w:rStyle w:val="Hyperlink"/>
                  <w:rFonts w:asciiTheme="minorHAnsi" w:hAnsiTheme="minorHAnsi"/>
                  <w:sz w:val="20"/>
                </w:rPr>
                <w:t>332</w:t>
              </w:r>
            </w:hyperlink>
            <w:r w:rsidRPr="00810D5A">
              <w:rPr>
                <w:rFonts w:asciiTheme="minorHAnsi" w:hAnsiTheme="minorHAnsi"/>
                <w:sz w:val="20"/>
              </w:rPr>
              <w:t>-</w:t>
            </w:r>
            <w:hyperlink r:id="rId13" w:anchor="H-S.C3.A4tze" w:tooltip="H- und P-Sätze" w:history="1">
              <w:r w:rsidRPr="00810D5A">
                <w:rPr>
                  <w:rStyle w:val="Hyperlink"/>
                  <w:rFonts w:asciiTheme="minorHAnsi" w:hAnsiTheme="minorHAnsi"/>
                  <w:sz w:val="20"/>
                </w:rPr>
                <w:t>312</w:t>
              </w:r>
            </w:hyperlink>
            <w:r w:rsidRPr="00810D5A">
              <w:rPr>
                <w:rFonts w:asciiTheme="minorHAnsi" w:hAnsiTheme="minorHAnsi"/>
                <w:sz w:val="20"/>
              </w:rPr>
              <w:t>-</w:t>
            </w:r>
            <w:hyperlink r:id="rId14" w:anchor="H-S.C3.A4tze" w:tooltip="H- und P-Sätze" w:history="1">
              <w:r w:rsidRPr="00810D5A">
                <w:rPr>
                  <w:rStyle w:val="Hyperlink"/>
                  <w:rFonts w:asciiTheme="minorHAnsi" w:hAnsiTheme="minorHAnsi"/>
                  <w:sz w:val="20"/>
                </w:rPr>
                <w:t>302</w:t>
              </w:r>
            </w:hyperlink>
            <w:r w:rsidRPr="00810D5A">
              <w:rPr>
                <w:rFonts w:asciiTheme="minorHAnsi" w:hAnsiTheme="minorHAnsi"/>
                <w:sz w:val="20"/>
              </w:rPr>
              <w:t>-</w:t>
            </w:r>
            <w:hyperlink r:id="rId15" w:anchor="H-S.C3.A4tze" w:tooltip="H- und P-Sätze" w:history="1">
              <w:r w:rsidRPr="00810D5A">
                <w:rPr>
                  <w:rStyle w:val="Hyperlink"/>
                  <w:rFonts w:asciiTheme="minorHAnsi" w:hAnsiTheme="minorHAnsi"/>
                  <w:sz w:val="20"/>
                </w:rPr>
                <w:t>412</w:t>
              </w:r>
            </w:hyperlink>
          </w:p>
        </w:tc>
        <w:tc>
          <w:tcPr>
            <w:tcW w:w="3118" w:type="dxa"/>
            <w:gridSpan w:val="3"/>
            <w:tcBorders>
              <w:bottom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16" w:anchor="P-S.C3.A4tze" w:tooltip="H- und P-Sätze" w:history="1">
              <w:r w:rsidRPr="00810D5A">
                <w:rPr>
                  <w:rStyle w:val="Hyperlink"/>
                  <w:rFonts w:asciiTheme="minorHAnsi" w:hAnsiTheme="minorHAnsi"/>
                  <w:sz w:val="20"/>
                </w:rPr>
                <w:t>273</w:t>
              </w:r>
            </w:hyperlink>
            <w:r w:rsidRPr="00810D5A">
              <w:rPr>
                <w:rFonts w:asciiTheme="minorHAnsi" w:hAnsiTheme="minorHAnsi"/>
                <w:sz w:val="20"/>
              </w:rPr>
              <w:t>-​</w:t>
            </w:r>
            <w:hyperlink r:id="rId17" w:anchor="P-S.C3.A4tze" w:tooltip="H- und P-Sätze" w:history="1">
              <w:r w:rsidRPr="00810D5A">
                <w:rPr>
                  <w:rStyle w:val="Hyperlink"/>
                  <w:rFonts w:asciiTheme="minorHAnsi" w:hAnsiTheme="minorHAnsi"/>
                  <w:sz w:val="20"/>
                </w:rPr>
                <w:t>302+352</w:t>
              </w:r>
            </w:hyperlink>
          </w:p>
        </w:tc>
      </w:tr>
      <w:tr w:rsidR="008C17A8" w:rsidRPr="00810D5A"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8C17A8" w:rsidRPr="00810D5A" w:rsidRDefault="008C17A8" w:rsidP="000B072C">
            <w:pPr>
              <w:spacing w:after="0" w:line="276" w:lineRule="auto"/>
              <w:contextualSpacing/>
              <w:jc w:val="center"/>
              <w:rPr>
                <w:rFonts w:asciiTheme="minorHAnsi" w:hAnsiTheme="minorHAnsi"/>
                <w:color w:val="auto"/>
                <w:sz w:val="20"/>
                <w:szCs w:val="20"/>
              </w:rPr>
            </w:pPr>
            <w:r>
              <w:rPr>
                <w:rFonts w:asciiTheme="minorHAnsi" w:hAnsiTheme="minorHAnsi"/>
                <w:color w:val="auto"/>
                <w:sz w:val="20"/>
                <w:szCs w:val="20"/>
              </w:rPr>
              <w:t>Verd. Salzsäure</w:t>
            </w:r>
          </w:p>
        </w:tc>
        <w:tc>
          <w:tcPr>
            <w:tcW w:w="3177" w:type="dxa"/>
            <w:gridSpan w:val="3"/>
            <w:tcBorders>
              <w:top w:val="single" w:sz="4" w:space="0" w:color="5B9BD5" w:themeColor="accent1"/>
              <w:bottom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Pr>
                <w:rFonts w:asciiTheme="minorHAnsi" w:hAnsiTheme="minorHAnsi"/>
                <w:sz w:val="20"/>
              </w:rPr>
              <w:t>H 290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Pr>
                <w:rFonts w:asciiTheme="minorHAnsi" w:hAnsiTheme="minorHAnsi"/>
                <w:sz w:val="20"/>
              </w:rPr>
              <w:t>P: 260- 305+351+338- 303+361+353- 309+311</w:t>
            </w:r>
          </w:p>
        </w:tc>
      </w:tr>
      <w:tr w:rsidR="008C17A8" w:rsidRPr="00810D5A"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8C17A8" w:rsidRPr="00810D5A" w:rsidRDefault="008C17A8" w:rsidP="000B072C">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Universalindikator</w:t>
            </w:r>
          </w:p>
        </w:tc>
        <w:tc>
          <w:tcPr>
            <w:tcW w:w="3177" w:type="dxa"/>
            <w:gridSpan w:val="3"/>
            <w:tcBorders>
              <w:top w:val="single" w:sz="4" w:space="0" w:color="5B9BD5" w:themeColor="accent1"/>
              <w:bottom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Pr>
                <w:rFonts w:asciiTheme="minorHAnsi" w:hAnsiTheme="minorHAnsi"/>
                <w:sz w:val="20"/>
              </w:rPr>
              <w:t>H:225</w:t>
            </w:r>
          </w:p>
        </w:tc>
        <w:tc>
          <w:tcPr>
            <w:tcW w:w="3118" w:type="dxa"/>
            <w:gridSpan w:val="3"/>
            <w:tcBorders>
              <w:top w:val="single" w:sz="4" w:space="0" w:color="5B9BD5" w:themeColor="accent1"/>
              <w:bottom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18" w:anchor="P-S.C3.A4tze" w:tooltip="H- und P-Sätze" w:history="1">
              <w:r w:rsidRPr="00810D5A">
                <w:rPr>
                  <w:rStyle w:val="Hyperlink"/>
                  <w:rFonts w:asciiTheme="minorHAnsi" w:hAnsiTheme="minorHAnsi"/>
                  <w:sz w:val="20"/>
                </w:rPr>
                <w:t>2</w:t>
              </w:r>
            </w:hyperlink>
            <w:r w:rsidRPr="00810D5A">
              <w:rPr>
                <w:rStyle w:val="Hyperlink"/>
                <w:rFonts w:asciiTheme="minorHAnsi" w:hAnsiTheme="minorHAnsi"/>
                <w:sz w:val="20"/>
              </w:rPr>
              <w:t>10</w:t>
            </w:r>
            <w:r w:rsidRPr="00810D5A">
              <w:rPr>
                <w:rFonts w:asciiTheme="minorHAnsi" w:hAnsiTheme="minorHAnsi"/>
                <w:sz w:val="20"/>
              </w:rPr>
              <w:t>-​</w:t>
            </w:r>
            <w:hyperlink r:id="rId19" w:anchor="P-S.C3.A4tze" w:tooltip="H- und P-Sätze" w:history="1">
              <w:r>
                <w:rPr>
                  <w:rStyle w:val="Hyperlink"/>
                  <w:rFonts w:asciiTheme="minorHAnsi" w:hAnsiTheme="minorHAnsi"/>
                  <w:sz w:val="20"/>
                </w:rPr>
                <w:t>233</w:t>
              </w:r>
              <w:r w:rsidRPr="00810D5A">
                <w:rPr>
                  <w:rStyle w:val="Hyperlink"/>
                  <w:rFonts w:asciiTheme="minorHAnsi" w:hAnsiTheme="minorHAnsi"/>
                  <w:sz w:val="20"/>
                </w:rPr>
                <w:t>- 3</w:t>
              </w:r>
            </w:hyperlink>
            <w:r>
              <w:rPr>
                <w:rStyle w:val="Hyperlink"/>
                <w:rFonts w:asciiTheme="minorHAnsi" w:hAnsiTheme="minorHAnsi"/>
                <w:sz w:val="20"/>
              </w:rPr>
              <w:t>70+378a</w:t>
            </w:r>
            <w:r w:rsidRPr="00810D5A">
              <w:rPr>
                <w:rStyle w:val="Hyperlink"/>
                <w:rFonts w:asciiTheme="minorHAnsi" w:hAnsiTheme="minorHAnsi"/>
                <w:sz w:val="20"/>
              </w:rPr>
              <w:t>- 403</w:t>
            </w:r>
            <w:r>
              <w:rPr>
                <w:rStyle w:val="Hyperlink"/>
                <w:rFonts w:asciiTheme="minorHAnsi" w:hAnsiTheme="minorHAnsi"/>
                <w:sz w:val="20"/>
              </w:rPr>
              <w:t>+235</w:t>
            </w:r>
          </w:p>
        </w:tc>
      </w:tr>
      <w:tr w:rsidR="008C17A8" w:rsidRPr="00810D5A"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8C17A8" w:rsidRDefault="008C17A8" w:rsidP="000B072C">
            <w:pPr>
              <w:spacing w:after="0" w:line="276" w:lineRule="auto"/>
              <w:contextualSpacing/>
              <w:jc w:val="center"/>
              <w:rPr>
                <w:rFonts w:asciiTheme="minorHAnsi" w:hAnsiTheme="minorHAnsi"/>
                <w:color w:val="auto"/>
                <w:sz w:val="20"/>
                <w:szCs w:val="20"/>
              </w:rPr>
            </w:pPr>
            <w:r>
              <w:rPr>
                <w:rFonts w:asciiTheme="minorHAnsi" w:hAnsiTheme="minorHAnsi"/>
                <w:color w:val="auto"/>
                <w:sz w:val="20"/>
                <w:szCs w:val="20"/>
              </w:rPr>
              <w:t>NaCl</w:t>
            </w:r>
          </w:p>
        </w:tc>
        <w:tc>
          <w:tcPr>
            <w:tcW w:w="3177" w:type="dxa"/>
            <w:gridSpan w:val="3"/>
            <w:tcBorders>
              <w:top w:val="single" w:sz="4" w:space="0" w:color="5B9BD5" w:themeColor="accent1"/>
              <w:bottom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Pr>
                <w:rFonts w:asciiTheme="minorHAnsi" w:hAnsiTheme="minorHAnsi"/>
                <w:sz w:val="20"/>
              </w:rPr>
              <w:t>H: -</w:t>
            </w:r>
          </w:p>
        </w:tc>
        <w:tc>
          <w:tcPr>
            <w:tcW w:w="3118" w:type="dxa"/>
            <w:gridSpan w:val="3"/>
            <w:tcBorders>
              <w:top w:val="single" w:sz="4" w:space="0" w:color="5B9BD5" w:themeColor="accent1"/>
              <w:bottom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Pr>
                <w:rFonts w:asciiTheme="minorHAnsi" w:hAnsiTheme="minorHAnsi"/>
                <w:sz w:val="20"/>
              </w:rPr>
              <w:t>P: -</w:t>
            </w:r>
          </w:p>
        </w:tc>
      </w:tr>
      <w:tr w:rsidR="008C17A8" w:rsidRPr="00810D5A" w:rsidTr="000B072C">
        <w:trPr>
          <w:trHeight w:val="434"/>
        </w:trPr>
        <w:tc>
          <w:tcPr>
            <w:tcW w:w="3027" w:type="dxa"/>
            <w:gridSpan w:val="3"/>
            <w:tcBorders>
              <w:top w:val="single" w:sz="4" w:space="0" w:color="5B9BD5" w:themeColor="accent1"/>
            </w:tcBorders>
            <w:shd w:val="clear" w:color="auto" w:fill="auto"/>
            <w:vAlign w:val="center"/>
          </w:tcPr>
          <w:p w:rsidR="008C17A8" w:rsidRDefault="008C17A8" w:rsidP="000B072C">
            <w:pPr>
              <w:spacing w:after="0" w:line="276" w:lineRule="auto"/>
              <w:contextualSpacing/>
              <w:jc w:val="center"/>
              <w:rPr>
                <w:rFonts w:asciiTheme="minorHAnsi" w:hAnsiTheme="minorHAnsi"/>
                <w:color w:val="auto"/>
                <w:sz w:val="20"/>
                <w:szCs w:val="20"/>
              </w:rPr>
            </w:pPr>
            <w:proofErr w:type="spellStart"/>
            <w:r w:rsidRPr="00810D5A">
              <w:rPr>
                <w:rFonts w:asciiTheme="minorHAnsi" w:hAnsiTheme="minorHAnsi"/>
                <w:color w:val="auto"/>
                <w:sz w:val="20"/>
                <w:szCs w:val="20"/>
              </w:rPr>
              <w:t>konz</w:t>
            </w:r>
            <w:proofErr w:type="spellEnd"/>
            <w:r w:rsidRPr="00810D5A">
              <w:rPr>
                <w:rFonts w:asciiTheme="minorHAnsi" w:hAnsiTheme="minorHAnsi"/>
                <w:color w:val="auto"/>
                <w:sz w:val="20"/>
                <w:szCs w:val="20"/>
              </w:rPr>
              <w:t>. Schwefelsäure</w:t>
            </w:r>
          </w:p>
        </w:tc>
        <w:tc>
          <w:tcPr>
            <w:tcW w:w="3177" w:type="dxa"/>
            <w:gridSpan w:val="3"/>
            <w:tcBorders>
              <w:top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Pr>
                <w:rFonts w:asciiTheme="minorHAnsi" w:hAnsiTheme="minorHAnsi"/>
                <w:sz w:val="20"/>
              </w:rPr>
              <w:t>H:314</w:t>
            </w:r>
            <w:r w:rsidRPr="00810D5A">
              <w:rPr>
                <w:rFonts w:asciiTheme="minorHAnsi" w:hAnsiTheme="minorHAnsi"/>
                <w:sz w:val="20"/>
              </w:rPr>
              <w:t>-2</w:t>
            </w:r>
            <w:r>
              <w:rPr>
                <w:rFonts w:asciiTheme="minorHAnsi" w:hAnsiTheme="minorHAnsi"/>
                <w:sz w:val="20"/>
              </w:rPr>
              <w:t>9</w:t>
            </w:r>
            <w:r w:rsidRPr="00810D5A">
              <w:rPr>
                <w:rFonts w:asciiTheme="minorHAnsi" w:hAnsiTheme="minorHAnsi"/>
                <w:sz w:val="20"/>
              </w:rPr>
              <w:t>0</w:t>
            </w:r>
          </w:p>
        </w:tc>
        <w:tc>
          <w:tcPr>
            <w:tcW w:w="3118" w:type="dxa"/>
            <w:gridSpan w:val="3"/>
            <w:tcBorders>
              <w:top w:val="single" w:sz="4" w:space="0" w:color="5B9BD5" w:themeColor="accent1"/>
            </w:tcBorders>
            <w:shd w:val="clear" w:color="auto" w:fill="auto"/>
            <w:vAlign w:val="center"/>
          </w:tcPr>
          <w:p w:rsidR="008C17A8" w:rsidRPr="00810D5A" w:rsidRDefault="008C17A8" w:rsidP="000B072C">
            <w:pPr>
              <w:pStyle w:val="Beschriftung"/>
              <w:spacing w:after="0"/>
              <w:contextualSpacing/>
              <w:jc w:val="center"/>
              <w:rPr>
                <w:rFonts w:asciiTheme="minorHAnsi" w:hAnsiTheme="minorHAnsi"/>
                <w:sz w:val="20"/>
              </w:rPr>
            </w:pPr>
            <w:r w:rsidRPr="00810D5A">
              <w:rPr>
                <w:rFonts w:asciiTheme="minorHAnsi" w:hAnsiTheme="minorHAnsi"/>
                <w:sz w:val="20"/>
              </w:rPr>
              <w:t>P</w:t>
            </w:r>
            <w:r>
              <w:rPr>
                <w:rFonts w:asciiTheme="minorHAnsi" w:hAnsiTheme="minorHAnsi"/>
                <w:sz w:val="20"/>
              </w:rPr>
              <w:t>: 280-301+330+331</w:t>
            </w:r>
            <w:r w:rsidRPr="00810D5A">
              <w:rPr>
                <w:rFonts w:asciiTheme="minorHAnsi" w:hAnsiTheme="minorHAnsi"/>
                <w:sz w:val="20"/>
              </w:rPr>
              <w:t>-30</w:t>
            </w:r>
            <w:r>
              <w:rPr>
                <w:rFonts w:asciiTheme="minorHAnsi" w:hAnsiTheme="minorHAnsi"/>
                <w:sz w:val="20"/>
              </w:rPr>
              <w:t>5+351</w:t>
            </w:r>
            <w:r w:rsidRPr="00810D5A">
              <w:rPr>
                <w:rFonts w:asciiTheme="minorHAnsi" w:hAnsiTheme="minorHAnsi"/>
                <w:sz w:val="20"/>
              </w:rPr>
              <w:t>+3</w:t>
            </w:r>
            <w:r>
              <w:rPr>
                <w:rFonts w:asciiTheme="minorHAnsi" w:hAnsiTheme="minorHAnsi"/>
                <w:sz w:val="20"/>
              </w:rPr>
              <w:t>38</w:t>
            </w:r>
            <w:r w:rsidRPr="00810D5A">
              <w:rPr>
                <w:rFonts w:asciiTheme="minorHAnsi" w:hAnsiTheme="minorHAnsi"/>
                <w:sz w:val="20"/>
              </w:rPr>
              <w:t>-</w:t>
            </w:r>
            <w:r>
              <w:rPr>
                <w:rFonts w:asciiTheme="minorHAnsi" w:hAnsiTheme="minorHAnsi"/>
                <w:sz w:val="20"/>
              </w:rPr>
              <w:t>309+310</w:t>
            </w:r>
          </w:p>
        </w:tc>
      </w:tr>
      <w:tr w:rsidR="008C17A8" w:rsidRPr="00810D5A" w:rsidTr="000B072C">
        <w:tc>
          <w:tcPr>
            <w:tcW w:w="1009" w:type="dxa"/>
            <w:tcBorders>
              <w:top w:val="single" w:sz="8" w:space="0" w:color="4F81BD"/>
              <w:left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b/>
                <w:bCs/>
              </w:rPr>
            </w:pPr>
            <w:r w:rsidRPr="00810D5A">
              <w:rPr>
                <w:rFonts w:asciiTheme="minorHAnsi" w:hAnsiTheme="minorHAnsi"/>
                <w:b/>
                <w:noProof/>
                <w:lang w:eastAsia="de-DE"/>
              </w:rPr>
              <w:drawing>
                <wp:inline distT="0" distB="0" distL="0" distR="0" wp14:anchorId="77C9391B" wp14:editId="7DA0ACA1">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80B8504" wp14:editId="0CFAACEB">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7C86B45" wp14:editId="2EC7FCE0">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493CE9CD" wp14:editId="40E241CD">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430337A1" wp14:editId="6D79F360">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7A7AAC8C" wp14:editId="4F3A6EAB">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FB4810C" wp14:editId="1AC7648E">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E696217" wp14:editId="5BE509A2">
                  <wp:extent cx="511175" cy="51117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C17A8" w:rsidRPr="00810D5A" w:rsidRDefault="008C17A8"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7CAF80A9" wp14:editId="73E7DA6A">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C17A8" w:rsidRPr="00810D5A" w:rsidRDefault="008C17A8" w:rsidP="008C17A8">
      <w:pPr>
        <w:tabs>
          <w:tab w:val="left" w:pos="1701"/>
          <w:tab w:val="left" w:pos="1985"/>
        </w:tabs>
        <w:ind w:left="1980" w:hanging="1980"/>
        <w:contextualSpacing/>
        <w:rPr>
          <w:rFonts w:asciiTheme="minorHAnsi" w:hAnsiTheme="minorHAnsi"/>
        </w:rPr>
      </w:pPr>
    </w:p>
    <w:p w:rsidR="008C17A8" w:rsidRPr="00810D5A" w:rsidRDefault="008C17A8" w:rsidP="008C17A8">
      <w:pPr>
        <w:tabs>
          <w:tab w:val="left" w:pos="1701"/>
          <w:tab w:val="left" w:pos="1985"/>
        </w:tabs>
        <w:ind w:left="1980" w:hanging="1980"/>
        <w:contextualSpacing/>
        <w:rPr>
          <w:rFonts w:asciiTheme="minorHAnsi" w:hAnsiTheme="minorHAnsi"/>
        </w:rPr>
      </w:pPr>
      <w:r w:rsidRPr="00810D5A">
        <w:rPr>
          <w:rFonts w:asciiTheme="minorHAnsi" w:hAnsiTheme="minorHAnsi"/>
        </w:rPr>
        <w:t xml:space="preserve">Materialien: </w:t>
      </w:r>
      <w:r w:rsidRPr="00810D5A">
        <w:rPr>
          <w:rFonts w:asciiTheme="minorHAnsi" w:hAnsiTheme="minorHAnsi"/>
        </w:rPr>
        <w:tab/>
      </w:r>
      <w:r w:rsidRPr="00810D5A">
        <w:rPr>
          <w:rFonts w:asciiTheme="minorHAnsi" w:hAnsiTheme="minorHAnsi"/>
        </w:rPr>
        <w:tab/>
        <w:t xml:space="preserve">Stativmaterial, </w:t>
      </w:r>
      <w:r>
        <w:rPr>
          <w:rFonts w:asciiTheme="minorHAnsi" w:hAnsiTheme="minorHAnsi"/>
        </w:rPr>
        <w:t>Zwei-Hals-Rundkolben, Tropftrichter, Glasanschluss, Schlauchmaterial, Bechergläser, Glasspitze</w:t>
      </w:r>
    </w:p>
    <w:p w:rsidR="008C17A8" w:rsidRPr="00810D5A" w:rsidRDefault="008C17A8" w:rsidP="008C17A8">
      <w:pPr>
        <w:tabs>
          <w:tab w:val="left" w:pos="1701"/>
          <w:tab w:val="left" w:pos="1985"/>
        </w:tabs>
        <w:ind w:left="1980" w:hanging="1980"/>
        <w:contextualSpacing/>
        <w:rPr>
          <w:rFonts w:asciiTheme="minorHAnsi" w:hAnsiTheme="minorHAnsi"/>
        </w:rPr>
      </w:pPr>
      <w:r w:rsidRPr="00810D5A">
        <w:rPr>
          <w:rFonts w:asciiTheme="minorHAnsi" w:hAnsiTheme="minorHAnsi"/>
        </w:rPr>
        <w:t>Chemikalien:</w:t>
      </w:r>
      <w:r w:rsidRPr="00810D5A">
        <w:rPr>
          <w:rFonts w:asciiTheme="minorHAnsi" w:hAnsiTheme="minorHAnsi"/>
        </w:rPr>
        <w:tab/>
      </w:r>
      <w:r w:rsidRPr="00810D5A">
        <w:rPr>
          <w:rFonts w:asciiTheme="minorHAnsi" w:hAnsiTheme="minorHAnsi"/>
        </w:rPr>
        <w:tab/>
      </w:r>
      <w:proofErr w:type="spellStart"/>
      <w:r>
        <w:rPr>
          <w:rFonts w:asciiTheme="minorHAnsi" w:hAnsiTheme="minorHAnsi"/>
        </w:rPr>
        <w:t>konz</w:t>
      </w:r>
      <w:proofErr w:type="spellEnd"/>
      <w:r>
        <w:rPr>
          <w:rFonts w:asciiTheme="minorHAnsi" w:hAnsiTheme="minorHAnsi"/>
        </w:rPr>
        <w:t>. Schwefelsäure, NaCl, Wasser, Aceton, Universalindikator</w:t>
      </w:r>
    </w:p>
    <w:p w:rsidR="008C17A8" w:rsidRDefault="008C17A8" w:rsidP="008C17A8">
      <w:pPr>
        <w:tabs>
          <w:tab w:val="left" w:pos="1701"/>
          <w:tab w:val="left" w:pos="1985"/>
        </w:tabs>
        <w:ind w:left="1980" w:hanging="1980"/>
        <w:contextualSpacing/>
        <w:rPr>
          <w:rFonts w:asciiTheme="minorHAnsi" w:hAnsiTheme="minorHAnsi"/>
        </w:rPr>
      </w:pPr>
      <w:r w:rsidRPr="00810D5A">
        <w:rPr>
          <w:rFonts w:asciiTheme="minorHAnsi" w:hAnsiTheme="minorHAnsi"/>
        </w:rPr>
        <w:t xml:space="preserve">Durchführung: </w:t>
      </w:r>
      <w:r w:rsidRPr="00810D5A">
        <w:rPr>
          <w:rFonts w:asciiTheme="minorHAnsi" w:hAnsiTheme="minorHAnsi"/>
        </w:rPr>
        <w:tab/>
      </w:r>
      <w:r w:rsidRPr="00810D5A">
        <w:rPr>
          <w:rFonts w:asciiTheme="minorHAnsi" w:hAnsiTheme="minorHAnsi"/>
        </w:rPr>
        <w:tab/>
      </w:r>
      <w:r>
        <w:rPr>
          <w:rFonts w:asciiTheme="minorHAnsi" w:hAnsiTheme="minorHAnsi"/>
        </w:rPr>
        <w:t>a) Die Apparatur wird gemäß Abbildung 4 aufgebaut</w:t>
      </w:r>
      <w:r w:rsidRPr="00810D5A">
        <w:rPr>
          <w:rFonts w:asciiTheme="minorHAnsi" w:hAnsiTheme="minorHAnsi"/>
        </w:rPr>
        <w:t>.</w:t>
      </w:r>
      <w:r>
        <w:rPr>
          <w:rFonts w:asciiTheme="minorHAnsi" w:hAnsiTheme="minorHAnsi"/>
        </w:rPr>
        <w:t xml:space="preserve"> Ein Leitfähigkeitsprüfer wird in </w:t>
      </w:r>
      <w:proofErr w:type="spellStart"/>
      <w:r>
        <w:rPr>
          <w:rFonts w:asciiTheme="minorHAnsi" w:hAnsiTheme="minorHAnsi"/>
        </w:rPr>
        <w:t>dest</w:t>
      </w:r>
      <w:proofErr w:type="spellEnd"/>
      <w:r>
        <w:rPr>
          <w:rFonts w:asciiTheme="minorHAnsi" w:hAnsiTheme="minorHAnsi"/>
        </w:rPr>
        <w:t xml:space="preserve">. Wasser und in Aceton gehalten. Dabei wird sowohl die Stromstärke, als auch die Spannung notiert. </w:t>
      </w:r>
    </w:p>
    <w:p w:rsidR="008C17A8" w:rsidRDefault="008C17A8" w:rsidP="008C17A8">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 xml:space="preserve">b) In den Rundkolben werden ca. 1,5 g NaCl gegeben. In den Tropftrichter etwa 8 mL </w:t>
      </w:r>
      <w:proofErr w:type="spellStart"/>
      <w:r>
        <w:rPr>
          <w:rFonts w:asciiTheme="minorHAnsi" w:hAnsiTheme="minorHAnsi"/>
        </w:rPr>
        <w:t>konz</w:t>
      </w:r>
      <w:proofErr w:type="spellEnd"/>
      <w:r>
        <w:rPr>
          <w:rFonts w:asciiTheme="minorHAnsi" w:hAnsiTheme="minorHAnsi"/>
        </w:rPr>
        <w:t xml:space="preserve">. Schwefelsäure. Die Apparatur wird luftdicht verschlossen und ein Becherglas mit 25 mL Wasser befüllt, die Glasspitze wird knapp über der Oberfläche der Flüssigkeit eingespannt. Etwa 2 mL der </w:t>
      </w:r>
      <w:proofErr w:type="spellStart"/>
      <w:r>
        <w:rPr>
          <w:rFonts w:asciiTheme="minorHAnsi" w:hAnsiTheme="minorHAnsi"/>
        </w:rPr>
        <w:t>konz</w:t>
      </w:r>
      <w:proofErr w:type="spellEnd"/>
      <w:r>
        <w:rPr>
          <w:rFonts w:asciiTheme="minorHAnsi" w:hAnsiTheme="minorHAnsi"/>
        </w:rPr>
        <w:t xml:space="preserve">. </w:t>
      </w:r>
      <w:proofErr w:type="gramStart"/>
      <w:r>
        <w:rPr>
          <w:rFonts w:asciiTheme="minorHAnsi" w:hAnsiTheme="minorHAnsi"/>
        </w:rPr>
        <w:t>Schwefelsäure</w:t>
      </w:r>
      <w:proofErr w:type="gramEnd"/>
      <w:r>
        <w:rPr>
          <w:rFonts w:asciiTheme="minorHAnsi" w:hAnsiTheme="minorHAnsi"/>
        </w:rPr>
        <w:t xml:space="preserve"> werden auf das NaCl gegeben. Sobald eine leichte Färbung des Indikators auftritt wird ein weiteres Becherglas mit Aceton gefüllt und mit dem ersten ausgetauscht. Anschließend werden nochmal 2-3 mL Schwefelsäure auf das NaCl getropft. Nach etwa 3 Minuten wird das Becherglas mit Aceton durch ein Becherglas mit Wasser ausgetauscht. So kann überschüssiges HCl-Gas </w:t>
      </w:r>
      <w:r>
        <w:rPr>
          <w:rFonts w:asciiTheme="minorHAnsi" w:hAnsiTheme="minorHAnsi"/>
        </w:rPr>
        <w:lastRenderedPageBreak/>
        <w:t>aufgefangen werden. Die Stromstärke von dem Aceton-HCl-Gemisch wird gemessen und notiert.</w:t>
      </w:r>
    </w:p>
    <w:p w:rsidR="008C17A8" w:rsidRPr="00810D5A" w:rsidRDefault="008C17A8" w:rsidP="008C17A8">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c)  Anschließend werden etwa 25 mL Wasser zu dem Aceton gegeben, kurz gerührt und abermals gemessen.</w:t>
      </w:r>
    </w:p>
    <w:p w:rsidR="008C17A8" w:rsidRDefault="008C17A8" w:rsidP="008C17A8">
      <w:pPr>
        <w:tabs>
          <w:tab w:val="left" w:pos="1701"/>
          <w:tab w:val="left" w:pos="1985"/>
        </w:tabs>
        <w:ind w:left="1980" w:hanging="1980"/>
        <w:contextualSpacing/>
        <w:rPr>
          <w:rFonts w:asciiTheme="minorHAnsi" w:hAnsiTheme="minorHAnsi"/>
        </w:rPr>
      </w:pPr>
      <w:r w:rsidRPr="00810D5A">
        <w:rPr>
          <w:rFonts w:asciiTheme="minorHAnsi" w:hAnsiTheme="minorHAnsi"/>
        </w:rPr>
        <w:t>Beobachtung:</w:t>
      </w:r>
      <w:r w:rsidRPr="00810D5A">
        <w:rPr>
          <w:rFonts w:asciiTheme="minorHAnsi" w:hAnsiTheme="minorHAnsi"/>
        </w:rPr>
        <w:tab/>
      </w:r>
      <w:r w:rsidRPr="00810D5A">
        <w:rPr>
          <w:rFonts w:asciiTheme="minorHAnsi" w:hAnsiTheme="minorHAnsi"/>
        </w:rPr>
        <w:tab/>
      </w:r>
      <w:r>
        <w:rPr>
          <w:rFonts w:asciiTheme="minorHAnsi" w:hAnsiTheme="minorHAnsi"/>
        </w:rPr>
        <w:t xml:space="preserve">a) Die gemessene Stromstärke bei </w:t>
      </w:r>
      <w:proofErr w:type="spellStart"/>
      <w:r>
        <w:rPr>
          <w:rFonts w:asciiTheme="minorHAnsi" w:hAnsiTheme="minorHAnsi"/>
        </w:rPr>
        <w:t>dest</w:t>
      </w:r>
      <w:proofErr w:type="spellEnd"/>
      <w:r>
        <w:rPr>
          <w:rFonts w:asciiTheme="minorHAnsi" w:hAnsiTheme="minorHAnsi"/>
        </w:rPr>
        <w:t>. Wasser und bei Aceton beträgt 0,00 mA.</w:t>
      </w:r>
    </w:p>
    <w:p w:rsidR="008C17A8" w:rsidRDefault="008C17A8" w:rsidP="008C17A8">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b) Bei Zugabe der Schwefelsäure zu Natriumchlorid ist eine Gasentwicklung zu beobachten</w:t>
      </w:r>
      <w:r w:rsidRPr="00810D5A">
        <w:rPr>
          <w:rFonts w:asciiTheme="minorHAnsi" w:hAnsiTheme="minorHAnsi"/>
        </w:rPr>
        <w:t>.</w:t>
      </w:r>
      <w:r>
        <w:rPr>
          <w:rFonts w:asciiTheme="minorHAnsi" w:hAnsiTheme="minorHAnsi"/>
        </w:rPr>
        <w:t xml:space="preserve"> Der Universalindikator färbt sich von gelb zu rot. Die gemessene Stromstärke beträgt etwa 50 mA. Die Stromstärke des Aceton-HCl-Gemischs beträgt 0,01 mA. </w:t>
      </w:r>
    </w:p>
    <w:p w:rsidR="008C17A8" w:rsidRPr="00810D5A" w:rsidRDefault="008C17A8" w:rsidP="008C17A8">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c) Nach Zugabe von Wasser ist eine Stromstärke von etwa 20 mA abzulesen.</w:t>
      </w:r>
    </w:p>
    <w:p w:rsidR="008C17A8" w:rsidRPr="00810D5A" w:rsidRDefault="008C17A8" w:rsidP="008C17A8">
      <w:pPr>
        <w:keepNext/>
        <w:tabs>
          <w:tab w:val="left" w:pos="1701"/>
          <w:tab w:val="left" w:pos="1985"/>
        </w:tabs>
        <w:ind w:left="1980" w:hanging="1980"/>
        <w:contextualSpacing/>
        <w:jc w:val="center"/>
        <w:rPr>
          <w:rFonts w:asciiTheme="minorHAnsi" w:hAnsiTheme="minorHAnsi"/>
        </w:rPr>
      </w:pPr>
      <w:r w:rsidRPr="00810D5A">
        <w:rPr>
          <w:rFonts w:asciiTheme="minorHAnsi" w:hAnsiTheme="minorHAnsi"/>
          <w:noProof/>
          <w:lang w:eastAsia="de-DE"/>
        </w:rPr>
        <w:drawing>
          <wp:inline distT="0" distB="0" distL="0" distR="0" wp14:anchorId="20B2FAA3" wp14:editId="0D4608DF">
            <wp:extent cx="2422566" cy="2959820"/>
            <wp:effectExtent l="0" t="0" r="0" b="0"/>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425767" cy="2963731"/>
                    </a:xfrm>
                    <a:prstGeom prst="rect">
                      <a:avLst/>
                    </a:prstGeom>
                    <a:noFill/>
                    <a:ln w="9525">
                      <a:noFill/>
                      <a:miter lim="800000"/>
                      <a:headEnd/>
                      <a:tailEnd/>
                    </a:ln>
                  </pic:spPr>
                </pic:pic>
              </a:graphicData>
            </a:graphic>
          </wp:inline>
        </w:drawing>
      </w:r>
    </w:p>
    <w:p w:rsidR="008C17A8" w:rsidRPr="00810D5A" w:rsidRDefault="008C17A8" w:rsidP="008C17A8">
      <w:pPr>
        <w:pStyle w:val="Beschriftung"/>
        <w:contextualSpacing/>
        <w:jc w:val="center"/>
        <w:rPr>
          <w:rFonts w:asciiTheme="minorHAnsi" w:hAnsiTheme="minorHAnsi"/>
        </w:rPr>
      </w:pPr>
      <w:r w:rsidRPr="00810D5A">
        <w:rPr>
          <w:rFonts w:asciiTheme="minorHAnsi" w:hAnsiTheme="minorHAnsi"/>
        </w:rPr>
        <w:t xml:space="preserve">Abb. </w:t>
      </w:r>
      <w:r w:rsidRPr="00810D5A">
        <w:rPr>
          <w:rFonts w:asciiTheme="minorHAnsi" w:hAnsiTheme="minorHAnsi"/>
        </w:rPr>
        <w:fldChar w:fldCharType="begin"/>
      </w:r>
      <w:r w:rsidRPr="00810D5A">
        <w:rPr>
          <w:rFonts w:asciiTheme="minorHAnsi" w:hAnsiTheme="minorHAnsi"/>
        </w:rPr>
        <w:instrText xml:space="preserve"> SEQ Abb. \* ARABIC </w:instrText>
      </w:r>
      <w:r w:rsidRPr="00810D5A">
        <w:rPr>
          <w:rFonts w:asciiTheme="minorHAnsi" w:hAnsiTheme="minorHAnsi"/>
        </w:rPr>
        <w:fldChar w:fldCharType="separate"/>
      </w:r>
      <w:r w:rsidR="008048EC">
        <w:rPr>
          <w:rFonts w:asciiTheme="minorHAnsi" w:hAnsiTheme="minorHAnsi"/>
          <w:noProof/>
        </w:rPr>
        <w:t>1</w:t>
      </w:r>
      <w:r w:rsidRPr="00810D5A">
        <w:rPr>
          <w:rFonts w:asciiTheme="minorHAnsi" w:hAnsiTheme="minorHAnsi"/>
          <w:noProof/>
        </w:rPr>
        <w:fldChar w:fldCharType="end"/>
      </w:r>
      <w:r w:rsidRPr="00810D5A">
        <w:rPr>
          <w:rFonts w:asciiTheme="minorHAnsi" w:hAnsiTheme="minorHAnsi"/>
        </w:rPr>
        <w:t xml:space="preserve"> - </w:t>
      </w:r>
      <w:r w:rsidRPr="00810D5A">
        <w:rPr>
          <w:rFonts w:asciiTheme="minorHAnsi" w:hAnsiTheme="minorHAnsi"/>
          <w:noProof/>
        </w:rPr>
        <w:t xml:space="preserve"> </w:t>
      </w:r>
      <w:r>
        <w:rPr>
          <w:rFonts w:asciiTheme="minorHAnsi" w:hAnsiTheme="minorHAnsi"/>
          <w:noProof/>
        </w:rPr>
        <w:t>Versuchsapparatur zur Erzeugung von Chlorwasserstoffgas.</w:t>
      </w:r>
    </w:p>
    <w:p w:rsidR="008C17A8" w:rsidRDefault="008C17A8" w:rsidP="008C17A8">
      <w:pPr>
        <w:tabs>
          <w:tab w:val="left" w:pos="1701"/>
          <w:tab w:val="left" w:pos="1985"/>
        </w:tabs>
        <w:ind w:left="1985" w:hanging="1985"/>
        <w:contextualSpacing/>
        <w:rPr>
          <w:rFonts w:asciiTheme="minorHAnsi" w:hAnsiTheme="minorHAnsi"/>
        </w:rPr>
      </w:pPr>
      <w:r w:rsidRPr="00810D5A">
        <w:rPr>
          <w:rFonts w:asciiTheme="minorHAnsi" w:hAnsiTheme="minorHAnsi"/>
        </w:rPr>
        <w:t>Deutung:</w:t>
      </w:r>
      <w:r w:rsidRPr="00810D5A">
        <w:rPr>
          <w:rFonts w:asciiTheme="minorHAnsi" w:hAnsiTheme="minorHAnsi"/>
        </w:rPr>
        <w:tab/>
      </w:r>
      <w:r w:rsidRPr="00810D5A">
        <w:rPr>
          <w:rFonts w:asciiTheme="minorHAnsi" w:hAnsiTheme="minorHAnsi"/>
        </w:rPr>
        <w:tab/>
      </w:r>
      <w:r>
        <w:rPr>
          <w:rFonts w:asciiTheme="minorHAnsi" w:hAnsiTheme="minorHAnsi"/>
        </w:rPr>
        <w:t xml:space="preserve">Wird </w:t>
      </w:r>
      <w:proofErr w:type="spellStart"/>
      <w:r>
        <w:rPr>
          <w:rFonts w:asciiTheme="minorHAnsi" w:hAnsiTheme="minorHAnsi"/>
        </w:rPr>
        <w:t>konz</w:t>
      </w:r>
      <w:proofErr w:type="spellEnd"/>
      <w:r>
        <w:rPr>
          <w:rFonts w:asciiTheme="minorHAnsi" w:hAnsiTheme="minorHAnsi"/>
        </w:rPr>
        <w:t>. Schwefelsäure zu dem NaCl gegeben, entsteht die stärkere Säure in Form des Chlorwasserstoffgases:</w:t>
      </w:r>
    </w:p>
    <w:p w:rsidR="008C17A8" w:rsidRPr="006B30CF" w:rsidRDefault="002E099A" w:rsidP="008C17A8">
      <w:pPr>
        <w:tabs>
          <w:tab w:val="left" w:pos="1701"/>
          <w:tab w:val="left" w:pos="1985"/>
        </w:tabs>
        <w:ind w:left="2124" w:hanging="2124"/>
        <w:contextualSpacing/>
        <w:rPr>
          <w:rFonts w:asciiTheme="minorHAnsi" w:eastAsiaTheme="minorEastAsia" w:hAnsiTheme="minorHAnsi"/>
          <w:iCs/>
        </w:rPr>
      </w:pPr>
      <m:oMathPara>
        <m:oMath>
          <m:sSub>
            <m:sSubPr>
              <m:ctrlPr>
                <w:rPr>
                  <w:rFonts w:ascii="Cambria Math" w:eastAsiaTheme="minorEastAsia" w:hAnsi="Cambria Math"/>
                  <w:iCs/>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SO</m:t>
              </m:r>
            </m:e>
            <m:sub>
              <m:r>
                <m:rPr>
                  <m:sty m:val="p"/>
                </m:rPr>
                <w:rPr>
                  <w:rFonts w:ascii="Cambria Math" w:eastAsiaTheme="minorEastAsia" w:hAnsi="Cambria Math"/>
                </w:rPr>
                <m:t>4</m:t>
              </m:r>
              <m:d>
                <m:dPr>
                  <m:ctrlPr>
                    <w:rPr>
                      <w:rFonts w:ascii="Cambria Math" w:eastAsiaTheme="minorEastAsia" w:hAnsi="Cambria Math"/>
                    </w:rPr>
                  </m:ctrlPr>
                </m:dPr>
                <m:e>
                  <m:r>
                    <m:rPr>
                      <m:sty m:val="p"/>
                    </m:rPr>
                    <w:rPr>
                      <w:rFonts w:ascii="Cambria Math" w:eastAsiaTheme="minorEastAsia" w:hAnsi="Cambria Math"/>
                    </w:rPr>
                    <m:t>aq</m:t>
                  </m:r>
                </m:e>
              </m:d>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NaCl</m:t>
              </m:r>
            </m:e>
            <m:sub>
              <m:d>
                <m:dPr>
                  <m:ctrlPr>
                    <w:rPr>
                      <w:rFonts w:ascii="Cambria Math" w:eastAsiaTheme="minorEastAsia" w:hAnsi="Cambria Math"/>
                    </w:rPr>
                  </m:ctrlPr>
                </m:dPr>
                <m:e>
                  <m:r>
                    <m:rPr>
                      <m:sty m:val="p"/>
                    </m:rPr>
                    <w:rPr>
                      <w:rFonts w:ascii="Cambria Math" w:eastAsiaTheme="minorEastAsia" w:hAnsi="Cambria Math"/>
                    </w:rPr>
                    <m:t>s</m:t>
                  </m:r>
                </m:e>
              </m:d>
            </m:sub>
          </m:sSub>
          <m:r>
            <m:rPr>
              <m:sty m:val="p"/>
            </m:rPr>
            <w:rPr>
              <w:rFonts w:ascii="Cambria Math" w:eastAsiaTheme="minorEastAsia" w:hAnsi="Cambria Math"/>
            </w:rPr>
            <m:t>→ HNa</m:t>
          </m:r>
          <m:sSub>
            <m:sSubPr>
              <m:ctrlPr>
                <w:rPr>
                  <w:rFonts w:ascii="Cambria Math" w:eastAsiaTheme="minorEastAsia" w:hAnsi="Cambria Math"/>
                  <w:iCs/>
                </w:rPr>
              </m:ctrlPr>
            </m:sSubPr>
            <m:e>
              <m:r>
                <m:rPr>
                  <m:sty m:val="p"/>
                </m:rPr>
                <w:rPr>
                  <w:rFonts w:ascii="Cambria Math" w:eastAsiaTheme="minorEastAsia" w:hAnsi="Cambria Math"/>
                </w:rPr>
                <m:t>SO</m:t>
              </m:r>
            </m:e>
            <m:sub>
              <m:r>
                <m:rPr>
                  <m:sty m:val="p"/>
                </m:rPr>
                <w:rPr>
                  <w:rFonts w:ascii="Cambria Math" w:eastAsiaTheme="minorEastAsia" w:hAnsi="Cambria Math"/>
                </w:rPr>
                <m:t>4</m:t>
              </m:r>
              <m:d>
                <m:dPr>
                  <m:ctrlPr>
                    <w:rPr>
                      <w:rFonts w:ascii="Cambria Math" w:eastAsiaTheme="minorEastAsia" w:hAnsi="Cambria Math"/>
                    </w:rPr>
                  </m:ctrlPr>
                </m:dPr>
                <m:e>
                  <m:r>
                    <m:rPr>
                      <m:sty m:val="p"/>
                    </m:rPr>
                    <w:rPr>
                      <w:rFonts w:ascii="Cambria Math" w:eastAsiaTheme="minorEastAsia" w:hAnsi="Cambria Math"/>
                    </w:rPr>
                    <m:t>aq</m:t>
                  </m:r>
                </m:e>
              </m:d>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HCl</m:t>
              </m:r>
            </m:e>
            <m:sub>
              <m:r>
                <m:rPr>
                  <m:sty m:val="p"/>
                </m:rPr>
                <w:rPr>
                  <w:rFonts w:ascii="Cambria Math" w:eastAsiaTheme="minorEastAsia" w:hAnsi="Cambria Math"/>
                </w:rPr>
                <m:t>(g)</m:t>
              </m:r>
            </m:sub>
          </m:sSub>
        </m:oMath>
      </m:oMathPara>
    </w:p>
    <w:p w:rsidR="008C17A8" w:rsidRDefault="008C17A8" w:rsidP="008C17A8">
      <w:pPr>
        <w:tabs>
          <w:tab w:val="left" w:pos="1701"/>
          <w:tab w:val="left" w:pos="1985"/>
        </w:tabs>
        <w:ind w:left="1985" w:hanging="2124"/>
        <w:contextualSpacing/>
        <w:rPr>
          <w:rFonts w:asciiTheme="minorHAnsi" w:hAnsiTheme="minorHAnsi"/>
        </w:rPr>
      </w:pPr>
      <w:r>
        <w:rPr>
          <w:rFonts w:asciiTheme="minorHAnsi" w:hAnsiTheme="minorHAnsi"/>
        </w:rPr>
        <w:tab/>
      </w:r>
      <w:r>
        <w:rPr>
          <w:rFonts w:asciiTheme="minorHAnsi" w:hAnsiTheme="minorHAnsi"/>
        </w:rPr>
        <w:tab/>
        <w:t xml:space="preserve">Dieses Gas löst sich anschließend in dem Wasser, wodurch eine saure Lösung entsteht. </w:t>
      </w:r>
    </w:p>
    <w:p w:rsidR="008C17A8" w:rsidRDefault="008C17A8" w:rsidP="008C17A8">
      <w:pPr>
        <w:tabs>
          <w:tab w:val="left" w:pos="1701"/>
          <w:tab w:val="left" w:pos="1985"/>
        </w:tabs>
        <w:ind w:left="1985" w:hanging="2124"/>
        <w:contextualSpacing/>
        <w:rPr>
          <w:rFonts w:asciiTheme="minorHAnsi" w:hAnsiTheme="minorHAnsi"/>
        </w:rPr>
      </w:pPr>
      <m:oMathPara>
        <m:oMath>
          <m:r>
            <m:rPr>
              <m:sty m:val="p"/>
            </m:rPr>
            <w:rPr>
              <w:rFonts w:ascii="Cambria Math" w:eastAsiaTheme="minorEastAsia" w:hAnsi="Cambria Math"/>
            </w:rPr>
            <m:t>H</m:t>
          </m:r>
          <m:sSub>
            <m:sSubPr>
              <m:ctrlPr>
                <w:rPr>
                  <w:rFonts w:ascii="Cambria Math" w:eastAsiaTheme="minorEastAsia" w:hAnsi="Cambria Math"/>
                </w:rPr>
              </m:ctrlPr>
            </m:sSubPr>
            <m:e>
              <m:r>
                <m:rPr>
                  <m:sty m:val="p"/>
                </m:rPr>
                <w:rPr>
                  <w:rFonts w:ascii="Cambria Math" w:eastAsiaTheme="minorEastAsia" w:hAnsi="Cambria Math"/>
                </w:rPr>
                <m:t>Cl</m:t>
              </m:r>
            </m:e>
            <m:sub>
              <m:r>
                <m:rPr>
                  <m:sty m:val="p"/>
                </m:rPr>
                <w:rPr>
                  <w:rFonts w:ascii="Cambria Math" w:eastAsiaTheme="minorEastAsia" w:hAnsi="Cambria Math"/>
                </w:rPr>
                <m:t>(g)</m:t>
              </m:r>
            </m:sub>
          </m:sSub>
          <m:box>
            <m:boxPr>
              <m:opEmu m:val="1"/>
              <m:ctrlPr>
                <w:rPr>
                  <w:rFonts w:ascii="Cambria Math" w:eastAsiaTheme="minorEastAsia" w:hAnsi="Cambria Math"/>
                </w:rPr>
              </m:ctrlPr>
            </m:boxPr>
            <m:e>
              <m:groupChr>
                <m:groupChrPr>
                  <m:chr m:val="→"/>
                  <m:vertJc m:val="bot"/>
                  <m:ctrlPr>
                    <w:rPr>
                      <w:rFonts w:ascii="Cambria Math" w:eastAsiaTheme="minorEastAsia" w:hAnsi="Cambria Math"/>
                    </w:rPr>
                  </m:ctrlPr>
                </m:groupChr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groupChr>
            </m:e>
          </m:box>
          <m:sSubSup>
            <m:sSubSupPr>
              <m:ctrlPr>
                <w:rPr>
                  <w:rFonts w:ascii="Cambria Math" w:eastAsiaTheme="minorEastAsia" w:hAnsi="Cambria Math"/>
                </w:rPr>
              </m:ctrlPr>
            </m:sSubSupPr>
            <m:e>
              <m:r>
                <m:rPr>
                  <m:sty m:val="p"/>
                </m:rPr>
                <w:rPr>
                  <w:rFonts w:ascii="Cambria Math" w:eastAsiaTheme="minorEastAsia" w:hAnsi="Cambria Math"/>
                </w:rPr>
                <m:t>H</m:t>
              </m:r>
            </m:e>
            <m:sub>
              <m:r>
                <m:rPr>
                  <m:sty m:val="p"/>
                </m:rPr>
                <w:rPr>
                  <w:rFonts w:ascii="Cambria Math" w:eastAsiaTheme="minorEastAsia" w:hAnsi="Cambria Math"/>
                </w:rPr>
                <m:t xml:space="preserve"> (aq)</m:t>
              </m:r>
            </m:sub>
            <m:sup>
              <m:r>
                <m:rPr>
                  <m:sty m:val="p"/>
                </m:rPr>
                <w:rPr>
                  <w:rFonts w:ascii="Cambria Math" w:eastAsiaTheme="minorEastAsia" w:hAnsi="Cambria Math"/>
                </w:rPr>
                <m:t>+</m:t>
              </m:r>
            </m:sup>
          </m:sSubSup>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Cl</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rsidR="008C17A8" w:rsidRDefault="008C17A8" w:rsidP="008C17A8">
      <w:pPr>
        <w:tabs>
          <w:tab w:val="left" w:pos="1701"/>
          <w:tab w:val="left" w:pos="1985"/>
        </w:tabs>
        <w:ind w:left="1985" w:hanging="2124"/>
        <w:contextualSpacing/>
        <w:rPr>
          <w:rFonts w:asciiTheme="minorHAnsi" w:hAnsiTheme="minorHAnsi"/>
        </w:rPr>
      </w:pPr>
      <w:r>
        <w:rPr>
          <w:rFonts w:asciiTheme="minorHAnsi" w:hAnsiTheme="minorHAnsi"/>
        </w:rPr>
        <w:tab/>
      </w:r>
      <w:r>
        <w:rPr>
          <w:rFonts w:asciiTheme="minorHAnsi" w:hAnsiTheme="minorHAnsi"/>
        </w:rPr>
        <w:tab/>
        <w:t>Durch die freigesetzten H</w:t>
      </w:r>
      <w:r>
        <w:rPr>
          <w:rFonts w:asciiTheme="minorHAnsi" w:hAnsiTheme="minorHAnsi"/>
          <w:vertAlign w:val="superscript"/>
        </w:rPr>
        <w:t>+</w:t>
      </w:r>
      <w:r>
        <w:rPr>
          <w:rFonts w:asciiTheme="minorHAnsi" w:hAnsiTheme="minorHAnsi"/>
        </w:rPr>
        <w:t xml:space="preserve">-Ionen färbt sich der Indikator schließlich rot. Die entstandenen </w:t>
      </w:r>
      <w:proofErr w:type="spellStart"/>
      <w:r>
        <w:rPr>
          <w:rFonts w:asciiTheme="minorHAnsi" w:hAnsiTheme="minorHAnsi"/>
        </w:rPr>
        <w:t>Hydroxoniumionen</w:t>
      </w:r>
      <w:proofErr w:type="spellEnd"/>
      <w:r>
        <w:rPr>
          <w:rFonts w:asciiTheme="minorHAnsi" w:hAnsiTheme="minorHAnsi"/>
        </w:rPr>
        <w:t xml:space="preserve"> sind für die hohe Leitfähigkeit der Lösung verantwortlich.</w:t>
      </w:r>
    </w:p>
    <w:p w:rsidR="008C17A8" w:rsidRDefault="008C17A8" w:rsidP="008C17A8">
      <w:pPr>
        <w:tabs>
          <w:tab w:val="left" w:pos="1701"/>
          <w:tab w:val="left" w:pos="1985"/>
        </w:tabs>
        <w:ind w:left="1985" w:hanging="2124"/>
        <w:contextualSpacing/>
        <w:rPr>
          <w:rFonts w:asciiTheme="minorHAnsi" w:hAnsiTheme="minorHAnsi"/>
        </w:rPr>
      </w:pPr>
      <w:r>
        <w:rPr>
          <w:rFonts w:asciiTheme="minorHAnsi" w:hAnsiTheme="minorHAnsi"/>
        </w:rPr>
        <w:lastRenderedPageBreak/>
        <w:tab/>
      </w:r>
      <w:r>
        <w:rPr>
          <w:rFonts w:asciiTheme="minorHAnsi" w:hAnsiTheme="minorHAnsi"/>
        </w:rPr>
        <w:tab/>
        <w:t>In Aceton dissoziiert der Chlorwasserstoff nicht, deshalb ist kein Stromfluss zu messen. Erst nach Zugabe von Wasser kann der Chlorwasserstoff dissoziieren und setzt Protonen frei, wodurch ein Stromfluss zu beobachten ist.</w:t>
      </w:r>
    </w:p>
    <w:p w:rsidR="008C17A8" w:rsidRDefault="008C17A8" w:rsidP="008C17A8">
      <w:pPr>
        <w:tabs>
          <w:tab w:val="left" w:pos="1701"/>
          <w:tab w:val="left" w:pos="1985"/>
        </w:tabs>
        <w:ind w:left="1985" w:hanging="2124"/>
        <w:contextualSpacing/>
        <w:rPr>
          <w:rFonts w:asciiTheme="minorHAnsi" w:hAnsiTheme="minorHAnsi"/>
        </w:rPr>
      </w:pPr>
      <w:r>
        <w:rPr>
          <w:rFonts w:asciiTheme="minorHAnsi" w:hAnsiTheme="minorHAnsi"/>
        </w:rPr>
        <w:tab/>
      </w:r>
      <w:r>
        <w:rPr>
          <w:rFonts w:asciiTheme="minorHAnsi" w:hAnsiTheme="minorHAnsi"/>
        </w:rPr>
        <w:tab/>
        <w:t>Mit Hilfe der Stromstärke und der Spannung kann die elektrische Leitfähigkeit der Lösung bestimmt werden:</w:t>
      </w:r>
    </w:p>
    <w:p w:rsidR="008C17A8" w:rsidRPr="00482E51" w:rsidRDefault="008C17A8" w:rsidP="008C17A8">
      <w:pPr>
        <w:tabs>
          <w:tab w:val="left" w:pos="1701"/>
          <w:tab w:val="left" w:pos="1985"/>
        </w:tabs>
        <w:ind w:left="1985" w:hanging="2124"/>
        <w:contextualSpacing/>
        <w:rPr>
          <w:rFonts w:asciiTheme="minorHAnsi" w:eastAsiaTheme="minorEastAsia" w:hAnsiTheme="minorHAnsi"/>
        </w:rPr>
      </w:pPr>
      <m:oMathPara>
        <m:oMath>
          <m:r>
            <m:rPr>
              <m:sty m:val="p"/>
            </m:rPr>
            <w:rPr>
              <w:rFonts w:ascii="Cambria Math" w:eastAsiaTheme="minorEastAsia" w:hAnsi="Cambria Math"/>
            </w:rPr>
            <m:t>G=</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R</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I</m:t>
              </m:r>
            </m:num>
            <m:den>
              <m:r>
                <m:rPr>
                  <m:sty m:val="p"/>
                </m:rPr>
                <w:rPr>
                  <w:rFonts w:ascii="Cambria Math" w:eastAsiaTheme="minorEastAsia" w:hAnsi="Cambria Math"/>
                </w:rPr>
                <m:t>U</m:t>
              </m:r>
            </m:den>
          </m:f>
        </m:oMath>
      </m:oMathPara>
    </w:p>
    <w:p w:rsidR="008C17A8" w:rsidRDefault="008C17A8" w:rsidP="008C17A8">
      <w:pPr>
        <w:spacing w:line="276" w:lineRule="auto"/>
        <w:ind w:left="1985" w:hanging="1985"/>
        <w:contextualSpacing/>
        <w:jc w:val="left"/>
        <w:rPr>
          <w:rFonts w:asciiTheme="minorHAnsi" w:hAnsiTheme="minorHAnsi"/>
        </w:rPr>
      </w:pPr>
      <w:r>
        <w:rPr>
          <w:rFonts w:asciiTheme="minorHAnsi" w:hAnsiTheme="minorHAnsi"/>
        </w:rPr>
        <w:tab/>
        <w:t>Daraus ergeben sich folgende Werte:</w:t>
      </w:r>
    </w:p>
    <w:p w:rsidR="008C17A8" w:rsidRDefault="008C17A8" w:rsidP="008C17A8">
      <w:pPr>
        <w:spacing w:line="276" w:lineRule="auto"/>
        <w:ind w:left="1985" w:hanging="1985"/>
        <w:contextualSpacing/>
        <w:jc w:val="left"/>
        <w:rPr>
          <w:rFonts w:asciiTheme="minorHAnsi" w:hAnsiTheme="minorHAnsi"/>
        </w:rPr>
      </w:pPr>
      <w:r>
        <w:rPr>
          <w:rFonts w:asciiTheme="minorHAnsi" w:hAnsiTheme="minorHAnsi"/>
        </w:rPr>
        <w:tab/>
      </w:r>
    </w:p>
    <w:tbl>
      <w:tblPr>
        <w:tblStyle w:val="Tabellenraster"/>
        <w:tblW w:w="0" w:type="auto"/>
        <w:tblInd w:w="1555" w:type="dxa"/>
        <w:tblLook w:val="04A0" w:firstRow="1" w:lastRow="0" w:firstColumn="1" w:lastColumn="0" w:noHBand="0" w:noVBand="1"/>
      </w:tblPr>
      <w:tblGrid>
        <w:gridCol w:w="2321"/>
        <w:gridCol w:w="1751"/>
        <w:gridCol w:w="1752"/>
        <w:gridCol w:w="1683"/>
      </w:tblGrid>
      <w:tr w:rsidR="008C17A8" w:rsidTr="000B072C">
        <w:tc>
          <w:tcPr>
            <w:tcW w:w="2321" w:type="dxa"/>
            <w:tcBorders>
              <w:top w:val="nil"/>
              <w:left w:val="nil"/>
            </w:tcBorders>
          </w:tcPr>
          <w:p w:rsidR="008C17A8" w:rsidRDefault="008C17A8" w:rsidP="000B072C">
            <w:pPr>
              <w:spacing w:line="276" w:lineRule="auto"/>
              <w:contextualSpacing/>
              <w:jc w:val="left"/>
              <w:rPr>
                <w:rFonts w:asciiTheme="minorHAnsi" w:hAnsiTheme="minorHAnsi"/>
              </w:rPr>
            </w:pPr>
          </w:p>
        </w:tc>
        <w:tc>
          <w:tcPr>
            <w:tcW w:w="1751" w:type="dxa"/>
            <w:tcBorders>
              <w:bottom w:val="single" w:sz="4" w:space="0" w:color="auto"/>
            </w:tcBorders>
          </w:tcPr>
          <w:p w:rsidR="008C17A8" w:rsidRDefault="008C17A8" w:rsidP="000B072C">
            <w:pPr>
              <w:spacing w:line="276" w:lineRule="auto"/>
              <w:contextualSpacing/>
              <w:jc w:val="left"/>
              <w:rPr>
                <w:rFonts w:asciiTheme="minorHAnsi" w:hAnsiTheme="minorHAnsi"/>
              </w:rPr>
            </w:pPr>
            <w:r>
              <w:rPr>
                <w:rFonts w:asciiTheme="minorHAnsi" w:hAnsiTheme="minorHAnsi"/>
              </w:rPr>
              <w:t>U in V</w:t>
            </w:r>
          </w:p>
        </w:tc>
        <w:tc>
          <w:tcPr>
            <w:tcW w:w="1752" w:type="dxa"/>
            <w:tcBorders>
              <w:bottom w:val="single" w:sz="4" w:space="0" w:color="auto"/>
            </w:tcBorders>
          </w:tcPr>
          <w:p w:rsidR="008C17A8" w:rsidRDefault="008C17A8" w:rsidP="000B072C">
            <w:pPr>
              <w:spacing w:line="276" w:lineRule="auto"/>
              <w:contextualSpacing/>
              <w:jc w:val="left"/>
              <w:rPr>
                <w:rFonts w:asciiTheme="minorHAnsi" w:hAnsiTheme="minorHAnsi"/>
              </w:rPr>
            </w:pPr>
            <w:r>
              <w:rPr>
                <w:rFonts w:asciiTheme="minorHAnsi" w:hAnsiTheme="minorHAnsi"/>
              </w:rPr>
              <w:t>I in mA</w:t>
            </w:r>
          </w:p>
        </w:tc>
        <w:tc>
          <w:tcPr>
            <w:tcW w:w="1683" w:type="dxa"/>
            <w:tcBorders>
              <w:bottom w:val="single" w:sz="4" w:space="0" w:color="auto"/>
            </w:tcBorders>
          </w:tcPr>
          <w:p w:rsidR="008C17A8" w:rsidRDefault="008C17A8" w:rsidP="000B072C">
            <w:pPr>
              <w:spacing w:line="276" w:lineRule="auto"/>
              <w:contextualSpacing/>
              <w:jc w:val="left"/>
              <w:rPr>
                <w:rFonts w:asciiTheme="minorHAnsi" w:hAnsiTheme="minorHAnsi"/>
              </w:rPr>
            </w:pPr>
            <w:r>
              <w:rPr>
                <w:rFonts w:asciiTheme="minorHAnsi" w:hAnsiTheme="minorHAnsi"/>
              </w:rPr>
              <w:t>G in S</w:t>
            </w:r>
          </w:p>
        </w:tc>
      </w:tr>
      <w:tr w:rsidR="008C17A8" w:rsidTr="000B072C">
        <w:tc>
          <w:tcPr>
            <w:tcW w:w="2321" w:type="dxa"/>
          </w:tcPr>
          <w:p w:rsidR="008C17A8" w:rsidRDefault="008C17A8" w:rsidP="000B072C">
            <w:pPr>
              <w:spacing w:line="276" w:lineRule="auto"/>
              <w:contextualSpacing/>
              <w:jc w:val="left"/>
              <w:rPr>
                <w:rFonts w:asciiTheme="minorHAnsi" w:hAnsiTheme="minorHAnsi"/>
              </w:rPr>
            </w:pPr>
            <w:proofErr w:type="spellStart"/>
            <w:r>
              <w:rPr>
                <w:rFonts w:asciiTheme="minorHAnsi" w:hAnsiTheme="minorHAnsi"/>
              </w:rPr>
              <w:t>dest</w:t>
            </w:r>
            <w:proofErr w:type="spellEnd"/>
            <w:r>
              <w:rPr>
                <w:rFonts w:asciiTheme="minorHAnsi" w:hAnsiTheme="minorHAnsi"/>
              </w:rPr>
              <w:t>. Wasser</w:t>
            </w:r>
          </w:p>
        </w:tc>
        <w:tc>
          <w:tcPr>
            <w:tcW w:w="1751"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5,12</w:t>
            </w:r>
          </w:p>
        </w:tc>
        <w:tc>
          <w:tcPr>
            <w:tcW w:w="1752"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0,00</w:t>
            </w:r>
          </w:p>
        </w:tc>
        <w:tc>
          <w:tcPr>
            <w:tcW w:w="1683" w:type="dxa"/>
            <w:tcBorders>
              <w:top w:val="single" w:sz="4" w:space="0" w:color="auto"/>
              <w:left w:val="nil"/>
              <w:bottom w:val="single" w:sz="4" w:space="0" w:color="auto"/>
              <w:right w:val="single" w:sz="4" w:space="0" w:color="auto"/>
            </w:tcBorders>
            <w:shd w:val="clear" w:color="auto" w:fill="auto"/>
            <w:vAlign w:val="center"/>
          </w:tcPr>
          <w:p w:rsidR="008C17A8" w:rsidRDefault="008C17A8" w:rsidP="000B072C">
            <w:pPr>
              <w:spacing w:line="276" w:lineRule="auto"/>
              <w:contextualSpacing/>
              <w:jc w:val="center"/>
              <w:rPr>
                <w:rFonts w:asciiTheme="minorHAnsi" w:hAnsiTheme="minorHAnsi"/>
              </w:rPr>
            </w:pPr>
            <w:r>
              <w:rPr>
                <w:rFonts w:ascii="Calibri" w:hAnsi="Calibri"/>
                <w:color w:val="000000"/>
              </w:rPr>
              <w:t>0</w:t>
            </w:r>
          </w:p>
        </w:tc>
      </w:tr>
      <w:tr w:rsidR="008C17A8" w:rsidTr="000B072C">
        <w:tc>
          <w:tcPr>
            <w:tcW w:w="2321" w:type="dxa"/>
          </w:tcPr>
          <w:p w:rsidR="008C17A8" w:rsidRDefault="008C17A8" w:rsidP="000B072C">
            <w:pPr>
              <w:spacing w:line="276" w:lineRule="auto"/>
              <w:contextualSpacing/>
              <w:jc w:val="left"/>
              <w:rPr>
                <w:rFonts w:asciiTheme="minorHAnsi" w:hAnsiTheme="minorHAnsi"/>
              </w:rPr>
            </w:pPr>
            <w:r>
              <w:rPr>
                <w:rFonts w:asciiTheme="minorHAnsi" w:hAnsiTheme="minorHAnsi"/>
              </w:rPr>
              <w:t>Aceton</w:t>
            </w:r>
          </w:p>
        </w:tc>
        <w:tc>
          <w:tcPr>
            <w:tcW w:w="1751"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5,09</w:t>
            </w:r>
          </w:p>
        </w:tc>
        <w:tc>
          <w:tcPr>
            <w:tcW w:w="1752"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0,00</w:t>
            </w:r>
          </w:p>
        </w:tc>
        <w:tc>
          <w:tcPr>
            <w:tcW w:w="1683" w:type="dxa"/>
            <w:tcBorders>
              <w:top w:val="single" w:sz="4" w:space="0" w:color="auto"/>
              <w:left w:val="nil"/>
              <w:bottom w:val="single" w:sz="4" w:space="0" w:color="auto"/>
              <w:right w:val="single" w:sz="4" w:space="0" w:color="auto"/>
            </w:tcBorders>
            <w:shd w:val="clear" w:color="auto" w:fill="auto"/>
            <w:vAlign w:val="center"/>
          </w:tcPr>
          <w:p w:rsidR="008C17A8" w:rsidRDefault="008C17A8" w:rsidP="000B072C">
            <w:pPr>
              <w:spacing w:line="276" w:lineRule="auto"/>
              <w:contextualSpacing/>
              <w:jc w:val="center"/>
              <w:rPr>
                <w:rFonts w:asciiTheme="minorHAnsi" w:hAnsiTheme="minorHAnsi"/>
              </w:rPr>
            </w:pPr>
            <w:r>
              <w:rPr>
                <w:rFonts w:ascii="Calibri" w:hAnsi="Calibri"/>
                <w:color w:val="000000"/>
              </w:rPr>
              <w:t>0</w:t>
            </w:r>
          </w:p>
        </w:tc>
      </w:tr>
      <w:tr w:rsidR="008C17A8" w:rsidTr="000B072C">
        <w:tc>
          <w:tcPr>
            <w:tcW w:w="2321" w:type="dxa"/>
          </w:tcPr>
          <w:p w:rsidR="008C17A8" w:rsidRDefault="008C17A8" w:rsidP="000B072C">
            <w:pPr>
              <w:spacing w:line="276" w:lineRule="auto"/>
              <w:contextualSpacing/>
              <w:jc w:val="left"/>
              <w:rPr>
                <w:rFonts w:asciiTheme="minorHAnsi" w:hAnsiTheme="minorHAnsi"/>
              </w:rPr>
            </w:pPr>
            <w:r>
              <w:rPr>
                <w:rFonts w:asciiTheme="minorHAnsi" w:hAnsiTheme="minorHAnsi"/>
              </w:rPr>
              <w:t>HCl-</w:t>
            </w:r>
            <w:proofErr w:type="spellStart"/>
            <w:r>
              <w:rPr>
                <w:rFonts w:asciiTheme="minorHAnsi" w:hAnsiTheme="minorHAnsi"/>
              </w:rPr>
              <w:t>Lsg</w:t>
            </w:r>
            <w:proofErr w:type="spellEnd"/>
            <w:r>
              <w:rPr>
                <w:rFonts w:asciiTheme="minorHAnsi" w:hAnsiTheme="minorHAnsi"/>
              </w:rPr>
              <w:t>.</w:t>
            </w:r>
          </w:p>
        </w:tc>
        <w:tc>
          <w:tcPr>
            <w:tcW w:w="1751"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5,05</w:t>
            </w:r>
          </w:p>
        </w:tc>
        <w:tc>
          <w:tcPr>
            <w:tcW w:w="1752"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51,3</w:t>
            </w:r>
          </w:p>
        </w:tc>
        <w:tc>
          <w:tcPr>
            <w:tcW w:w="1683" w:type="dxa"/>
            <w:tcBorders>
              <w:top w:val="single" w:sz="4" w:space="0" w:color="auto"/>
              <w:left w:val="nil"/>
              <w:bottom w:val="single" w:sz="4" w:space="0" w:color="auto"/>
              <w:right w:val="single" w:sz="4" w:space="0" w:color="auto"/>
            </w:tcBorders>
            <w:shd w:val="clear" w:color="auto" w:fill="auto"/>
            <w:vAlign w:val="center"/>
          </w:tcPr>
          <w:p w:rsidR="008C17A8" w:rsidRDefault="008C17A8" w:rsidP="000B072C">
            <w:pPr>
              <w:spacing w:line="276" w:lineRule="auto"/>
              <w:contextualSpacing/>
              <w:jc w:val="center"/>
              <w:rPr>
                <w:rFonts w:asciiTheme="minorHAnsi" w:hAnsiTheme="minorHAnsi"/>
              </w:rPr>
            </w:pPr>
            <w:r>
              <w:rPr>
                <w:rFonts w:ascii="Calibri" w:hAnsi="Calibri"/>
                <w:color w:val="000000"/>
              </w:rPr>
              <w:t>10,158</w:t>
            </w:r>
          </w:p>
        </w:tc>
      </w:tr>
      <w:tr w:rsidR="008C17A8" w:rsidTr="000B072C">
        <w:tc>
          <w:tcPr>
            <w:tcW w:w="2321" w:type="dxa"/>
          </w:tcPr>
          <w:p w:rsidR="008C17A8" w:rsidRDefault="008C17A8" w:rsidP="000B072C">
            <w:pPr>
              <w:spacing w:line="276" w:lineRule="auto"/>
              <w:contextualSpacing/>
              <w:jc w:val="left"/>
              <w:rPr>
                <w:rFonts w:asciiTheme="minorHAnsi" w:hAnsiTheme="minorHAnsi"/>
              </w:rPr>
            </w:pPr>
            <w:r>
              <w:rPr>
                <w:rFonts w:asciiTheme="minorHAnsi" w:hAnsiTheme="minorHAnsi"/>
              </w:rPr>
              <w:t>Aceton + HCl</w:t>
            </w:r>
          </w:p>
        </w:tc>
        <w:tc>
          <w:tcPr>
            <w:tcW w:w="1751"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5,10</w:t>
            </w:r>
          </w:p>
        </w:tc>
        <w:tc>
          <w:tcPr>
            <w:tcW w:w="1752"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0,01</w:t>
            </w:r>
          </w:p>
        </w:tc>
        <w:tc>
          <w:tcPr>
            <w:tcW w:w="1683" w:type="dxa"/>
            <w:tcBorders>
              <w:top w:val="single" w:sz="4" w:space="0" w:color="auto"/>
              <w:left w:val="nil"/>
              <w:bottom w:val="single" w:sz="4" w:space="0" w:color="auto"/>
              <w:right w:val="single" w:sz="4" w:space="0" w:color="auto"/>
            </w:tcBorders>
            <w:shd w:val="clear" w:color="auto" w:fill="auto"/>
            <w:vAlign w:val="center"/>
          </w:tcPr>
          <w:p w:rsidR="008C17A8" w:rsidRDefault="008C17A8" w:rsidP="000B072C">
            <w:pPr>
              <w:spacing w:line="276" w:lineRule="auto"/>
              <w:contextualSpacing/>
              <w:jc w:val="center"/>
              <w:rPr>
                <w:rFonts w:asciiTheme="minorHAnsi" w:hAnsiTheme="minorHAnsi"/>
              </w:rPr>
            </w:pPr>
            <w:r>
              <w:rPr>
                <w:rFonts w:ascii="Calibri" w:hAnsi="Calibri"/>
                <w:color w:val="000000"/>
              </w:rPr>
              <w:t>0,002</w:t>
            </w:r>
          </w:p>
        </w:tc>
      </w:tr>
      <w:tr w:rsidR="008C17A8" w:rsidTr="000B072C">
        <w:tc>
          <w:tcPr>
            <w:tcW w:w="2321" w:type="dxa"/>
          </w:tcPr>
          <w:p w:rsidR="008C17A8" w:rsidRDefault="008C17A8" w:rsidP="000B072C">
            <w:pPr>
              <w:spacing w:line="276" w:lineRule="auto"/>
              <w:contextualSpacing/>
              <w:jc w:val="left"/>
              <w:rPr>
                <w:rFonts w:asciiTheme="minorHAnsi" w:hAnsiTheme="minorHAnsi"/>
              </w:rPr>
            </w:pPr>
            <w:r>
              <w:rPr>
                <w:rFonts w:asciiTheme="minorHAnsi" w:hAnsiTheme="minorHAnsi"/>
              </w:rPr>
              <w:t>Aceton/Wasser + HCl</w:t>
            </w:r>
          </w:p>
        </w:tc>
        <w:tc>
          <w:tcPr>
            <w:tcW w:w="1751"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5,07</w:t>
            </w:r>
          </w:p>
        </w:tc>
        <w:tc>
          <w:tcPr>
            <w:tcW w:w="1752" w:type="dxa"/>
            <w:tcBorders>
              <w:top w:val="single" w:sz="4" w:space="0" w:color="auto"/>
              <w:bottom w:val="single" w:sz="4" w:space="0" w:color="auto"/>
            </w:tcBorders>
            <w:vAlign w:val="center"/>
          </w:tcPr>
          <w:p w:rsidR="008C17A8" w:rsidRDefault="008C17A8" w:rsidP="000B072C">
            <w:pPr>
              <w:spacing w:line="276" w:lineRule="auto"/>
              <w:contextualSpacing/>
              <w:jc w:val="center"/>
              <w:rPr>
                <w:rFonts w:asciiTheme="minorHAnsi" w:hAnsiTheme="minorHAnsi"/>
              </w:rPr>
            </w:pPr>
            <w:r>
              <w:rPr>
                <w:rFonts w:asciiTheme="minorHAnsi" w:hAnsiTheme="minorHAnsi"/>
              </w:rPr>
              <w:t>22,9</w:t>
            </w:r>
          </w:p>
        </w:tc>
        <w:tc>
          <w:tcPr>
            <w:tcW w:w="1683" w:type="dxa"/>
            <w:tcBorders>
              <w:top w:val="single" w:sz="4" w:space="0" w:color="auto"/>
              <w:left w:val="nil"/>
              <w:bottom w:val="single" w:sz="4" w:space="0" w:color="auto"/>
              <w:right w:val="single" w:sz="4" w:space="0" w:color="auto"/>
            </w:tcBorders>
            <w:shd w:val="clear" w:color="auto" w:fill="auto"/>
            <w:vAlign w:val="center"/>
          </w:tcPr>
          <w:p w:rsidR="008C17A8" w:rsidRDefault="008C17A8" w:rsidP="000B072C">
            <w:pPr>
              <w:spacing w:line="276" w:lineRule="auto"/>
              <w:contextualSpacing/>
              <w:jc w:val="center"/>
              <w:rPr>
                <w:rFonts w:asciiTheme="minorHAnsi" w:hAnsiTheme="minorHAnsi"/>
              </w:rPr>
            </w:pPr>
            <w:r>
              <w:rPr>
                <w:rFonts w:ascii="Calibri" w:hAnsi="Calibri"/>
                <w:color w:val="000000"/>
              </w:rPr>
              <w:t>4,516</w:t>
            </w:r>
          </w:p>
        </w:tc>
      </w:tr>
    </w:tbl>
    <w:p w:rsidR="008C17A8" w:rsidRDefault="008C17A8" w:rsidP="008C17A8">
      <w:pPr>
        <w:spacing w:line="276" w:lineRule="auto"/>
        <w:ind w:left="1985" w:hanging="1985"/>
        <w:contextualSpacing/>
        <w:jc w:val="left"/>
        <w:rPr>
          <w:rFonts w:asciiTheme="minorHAnsi" w:hAnsiTheme="minorHAnsi"/>
        </w:rPr>
      </w:pPr>
    </w:p>
    <w:p w:rsidR="008C17A8" w:rsidRDefault="008C17A8" w:rsidP="008C17A8">
      <w:pPr>
        <w:spacing w:line="276" w:lineRule="auto"/>
        <w:ind w:left="1985" w:hanging="1985"/>
        <w:contextualSpacing/>
        <w:jc w:val="left"/>
        <w:rPr>
          <w:rFonts w:asciiTheme="minorHAnsi" w:hAnsiTheme="minorHAnsi"/>
        </w:rPr>
      </w:pPr>
      <w:r w:rsidRPr="00810D5A">
        <w:rPr>
          <w:rFonts w:asciiTheme="minorHAnsi" w:hAnsiTheme="minorHAnsi"/>
        </w:rPr>
        <w:t>E</w:t>
      </w:r>
      <w:r>
        <w:rPr>
          <w:rFonts w:asciiTheme="minorHAnsi" w:hAnsiTheme="minorHAnsi"/>
        </w:rPr>
        <w:t>ntsorgung:</w:t>
      </w:r>
      <w:r>
        <w:rPr>
          <w:rFonts w:asciiTheme="minorHAnsi" w:hAnsiTheme="minorHAnsi"/>
        </w:rPr>
        <w:tab/>
        <w:t>Sämtliche Säurelösungen werden zusammengegeben, neutralisiert und über den Abfluss entsorgt</w:t>
      </w:r>
      <w:r w:rsidRPr="00810D5A">
        <w:rPr>
          <w:rFonts w:asciiTheme="minorHAnsi" w:hAnsiTheme="minorHAnsi"/>
        </w:rPr>
        <w:t>.</w:t>
      </w:r>
      <w:r>
        <w:rPr>
          <w:rFonts w:asciiTheme="minorHAnsi" w:hAnsiTheme="minorHAnsi"/>
        </w:rPr>
        <w:t xml:space="preserve"> Das Aceton-Wasser-Gemisch wird ebenfalls neutralisiert und in den Abfall für organische Lösungsmittel gegeben. NaCl- oder HNaSO</w:t>
      </w:r>
      <w:r>
        <w:rPr>
          <w:rFonts w:asciiTheme="minorHAnsi" w:hAnsiTheme="minorHAnsi"/>
          <w:vertAlign w:val="subscript"/>
        </w:rPr>
        <w:t>4</w:t>
      </w:r>
      <w:r>
        <w:rPr>
          <w:rFonts w:asciiTheme="minorHAnsi" w:hAnsiTheme="minorHAnsi"/>
        </w:rPr>
        <w:t>-Reste werden über den Feststoffabfall entsorgt.</w:t>
      </w:r>
    </w:p>
    <w:p w:rsidR="008C17A8" w:rsidRPr="00810D5A" w:rsidRDefault="008C17A8" w:rsidP="008C17A8">
      <w:pPr>
        <w:spacing w:line="276" w:lineRule="auto"/>
        <w:ind w:left="1985" w:hanging="1985"/>
        <w:contextualSpacing/>
        <w:jc w:val="left"/>
        <w:rPr>
          <w:rFonts w:asciiTheme="minorHAnsi" w:hAnsiTheme="minorHAnsi"/>
        </w:rPr>
      </w:pPr>
    </w:p>
    <w:p w:rsidR="008C17A8" w:rsidRDefault="008C17A8" w:rsidP="008C17A8">
      <w:pPr>
        <w:spacing w:line="276" w:lineRule="auto"/>
        <w:ind w:left="1985" w:hanging="1985"/>
        <w:contextualSpacing/>
        <w:jc w:val="left"/>
        <w:rPr>
          <w:rFonts w:asciiTheme="minorHAnsi" w:hAnsiTheme="minorHAnsi"/>
        </w:rPr>
      </w:pPr>
      <w:r>
        <w:rPr>
          <w:rFonts w:asciiTheme="minorHAnsi" w:hAnsiTheme="minorHAnsi"/>
        </w:rPr>
        <w:t>Literatur:</w:t>
      </w:r>
      <w:r>
        <w:rPr>
          <w:rFonts w:asciiTheme="minorHAnsi" w:hAnsiTheme="minorHAnsi"/>
        </w:rPr>
        <w:tab/>
        <w:t>[1] K</w:t>
      </w:r>
      <w:r w:rsidRPr="00810D5A">
        <w:rPr>
          <w:rFonts w:asciiTheme="minorHAnsi" w:hAnsiTheme="minorHAnsi"/>
        </w:rPr>
        <w:t xml:space="preserve">. </w:t>
      </w:r>
      <w:r>
        <w:rPr>
          <w:rFonts w:asciiTheme="minorHAnsi" w:hAnsiTheme="minorHAnsi"/>
        </w:rPr>
        <w:t>Freytag/V. Scharf, et al.</w:t>
      </w:r>
      <w:r w:rsidRPr="00810D5A">
        <w:rPr>
          <w:rFonts w:asciiTheme="minorHAnsi" w:hAnsiTheme="minorHAnsi"/>
        </w:rPr>
        <w:t xml:space="preserve">, </w:t>
      </w:r>
      <w:r>
        <w:rPr>
          <w:rFonts w:asciiTheme="minorHAnsi" w:hAnsiTheme="minorHAnsi"/>
        </w:rPr>
        <w:t>Handbuch des Chemieunterrichts Sekundarbereich Band 4/I: Säuren – Basen/Laugen, 2008, S.114</w:t>
      </w:r>
    </w:p>
    <w:p w:rsidR="008C17A8" w:rsidRPr="00810D5A" w:rsidRDefault="008C17A8" w:rsidP="008C17A8">
      <w:pPr>
        <w:spacing w:line="276" w:lineRule="auto"/>
        <w:ind w:left="1985" w:hanging="1985"/>
        <w:contextualSpacing/>
        <w:jc w:val="left"/>
        <w:rPr>
          <w:rFonts w:asciiTheme="minorHAnsi" w:hAnsiTheme="minorHAnsi"/>
        </w:rPr>
      </w:pPr>
    </w:p>
    <w:p w:rsidR="008C17A8" w:rsidRPr="00810D5A" w:rsidRDefault="008C17A8" w:rsidP="008C17A8">
      <w:pPr>
        <w:tabs>
          <w:tab w:val="left" w:pos="1701"/>
          <w:tab w:val="left" w:pos="1985"/>
        </w:tabs>
        <w:ind w:left="1980" w:hanging="1980"/>
        <w:contextualSpacing/>
        <w:rPr>
          <w:rFonts w:asciiTheme="minorHAnsi" w:eastAsiaTheme="minorEastAsia" w:hAnsiTheme="minorHAnsi"/>
        </w:rPr>
      </w:pPr>
      <w:r w:rsidRPr="00810D5A">
        <w:rPr>
          <w:rFonts w:asciiTheme="minorHAnsi" w:hAnsiTheme="minorHAnsi"/>
          <w:noProof/>
          <w:lang w:eastAsia="de-DE"/>
        </w:rPr>
        <mc:AlternateContent>
          <mc:Choice Requires="wps">
            <w:drawing>
              <wp:inline distT="0" distB="0" distL="0" distR="0" wp14:anchorId="52CF1BB1" wp14:editId="6E66367B">
                <wp:extent cx="5873115" cy="800100"/>
                <wp:effectExtent l="0" t="0" r="13335" b="19050"/>
                <wp:docPr id="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01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7A8" w:rsidRPr="00014D6F" w:rsidRDefault="008C17A8" w:rsidP="008C17A8">
                            <w:pPr>
                              <w:rPr>
                                <w:color w:val="auto"/>
                              </w:rPr>
                            </w:pPr>
                            <w:r>
                              <w:rPr>
                                <w:b/>
                                <w:color w:val="auto"/>
                              </w:rPr>
                              <w:t xml:space="preserve">Unterrichtsanschlüsse: </w:t>
                            </w:r>
                            <w:r>
                              <w:rPr>
                                <w:color w:val="auto"/>
                              </w:rPr>
                              <w:t>Anhand dieses Versuchs kann die Leitfähigkeit von sauren Lösungen eingeführt werden und im Anschluss kann über die Leitfähigkeitsprüfung von schwachen und starken Säuren der dissoziationsgrad eingeführt werden.</w:t>
                            </w:r>
                          </w:p>
                        </w:txbxContent>
                      </wps:txbx>
                      <wps:bodyPr rot="0" vert="horz" wrap="square" lIns="91440" tIns="45720" rIns="91440" bIns="45720" anchor="t" anchorCtr="0" upright="1">
                        <a:noAutofit/>
                      </wps:bodyPr>
                    </wps:wsp>
                  </a:graphicData>
                </a:graphic>
              </wp:inline>
            </w:drawing>
          </mc:Choice>
          <mc:Fallback>
            <w:pict>
              <v:shape w14:anchorId="52CF1BB1" id="Text Box 137" o:spid="_x0000_s1027" type="#_x0000_t202" style="width:462.4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" fillcolor="white [3201]" strokecolor="#ed7d31 [3205]" strokeweight="1pt">
                <v:stroke dashstyle="dash"/>
                <v:shadow color="#868686"/>
                <v:textbox>
                  <w:txbxContent>
                    <w:p w:rsidR="008C17A8" w:rsidRPr="00014D6F" w:rsidRDefault="008C17A8" w:rsidP="008C17A8">
                      <w:pPr>
                        <w:rPr>
                          <w:color w:val="auto"/>
                        </w:rPr>
                      </w:pPr>
                      <w:r>
                        <w:rPr>
                          <w:b/>
                          <w:color w:val="auto"/>
                        </w:rPr>
                        <w:t xml:space="preserve">Unterrichtsanschlüsse: </w:t>
                      </w:r>
                      <w:r>
                        <w:rPr>
                          <w:color w:val="auto"/>
                        </w:rPr>
                        <w:t>Anhand dieses Versuchs kann die Leitfähigkeit von sauren Lösungen eingeführt werden und im Anschluss kann über die Leitfähigkeitsprüfung von schwachen und starken Säuren der dissoziationsgrad eingeführt werden.</w:t>
                      </w:r>
                    </w:p>
                  </w:txbxContent>
                </v:textbox>
                <w10:anchorlock/>
              </v:shape>
            </w:pict>
          </mc:Fallback>
        </mc:AlternateContent>
      </w:r>
    </w:p>
    <w:p w:rsidR="008C17A8" w:rsidRPr="00810D5A" w:rsidRDefault="008C17A8" w:rsidP="008C17A8">
      <w:pPr>
        <w:tabs>
          <w:tab w:val="left" w:pos="1701"/>
          <w:tab w:val="left" w:pos="1985"/>
        </w:tabs>
        <w:ind w:left="1980" w:hanging="1980"/>
        <w:contextualSpacing/>
        <w:rPr>
          <w:rFonts w:asciiTheme="minorHAnsi" w:hAnsiTheme="minorHAnsi"/>
          <w:color w:val="44546A" w:themeColor="text2"/>
        </w:rPr>
      </w:pPr>
    </w:p>
    <w:p w:rsidR="00D73F5D" w:rsidRPr="008C17A8" w:rsidRDefault="00D73F5D" w:rsidP="008C17A8"/>
    <w:sectPr w:rsidR="00D73F5D" w:rsidRPr="008C17A8">
      <w:footerReference w:type="default" r:id="rId30"/>
      <w:footerReference w:type="firs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9A" w:rsidRDefault="002E099A">
      <w:pPr>
        <w:spacing w:after="0" w:line="240" w:lineRule="auto"/>
      </w:pPr>
      <w:r>
        <w:separator/>
      </w:r>
    </w:p>
  </w:endnote>
  <w:endnote w:type="continuationSeparator" w:id="0">
    <w:p w:rsidR="002E099A" w:rsidRDefault="002E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8C17A8">
        <w:pPr>
          <w:pStyle w:val="Fuzeile"/>
          <w:jc w:val="center"/>
        </w:pPr>
        <w:r>
          <w:fldChar w:fldCharType="begin"/>
        </w:r>
        <w:r>
          <w:instrText>PAGE   \* MERGEFORMAT</w:instrText>
        </w:r>
        <w:r>
          <w:fldChar w:fldCharType="separate"/>
        </w:r>
        <w:r w:rsidR="008048EC">
          <w:rPr>
            <w:noProof/>
          </w:rPr>
          <w:t>3</w:t>
        </w:r>
        <w:r>
          <w:fldChar w:fldCharType="end"/>
        </w:r>
      </w:p>
    </w:sdtContent>
  </w:sdt>
  <w:p w:rsidR="0099183C" w:rsidRDefault="002E09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2E099A">
    <w:pPr>
      <w:pStyle w:val="Fuzeile"/>
      <w:jc w:val="center"/>
    </w:pPr>
  </w:p>
  <w:p w:rsidR="0099183C" w:rsidRDefault="002E09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9A" w:rsidRDefault="002E099A">
      <w:pPr>
        <w:spacing w:after="0" w:line="240" w:lineRule="auto"/>
      </w:pPr>
      <w:r>
        <w:separator/>
      </w:r>
    </w:p>
  </w:footnote>
  <w:footnote w:type="continuationSeparator" w:id="0">
    <w:p w:rsidR="002E099A" w:rsidRDefault="002E0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83A16"/>
    <w:rsid w:val="001C518C"/>
    <w:rsid w:val="001C7E4D"/>
    <w:rsid w:val="00240CE2"/>
    <w:rsid w:val="002E099A"/>
    <w:rsid w:val="003143CC"/>
    <w:rsid w:val="0037579F"/>
    <w:rsid w:val="003B6E8D"/>
    <w:rsid w:val="003D42D3"/>
    <w:rsid w:val="003D4C1B"/>
    <w:rsid w:val="005D72E7"/>
    <w:rsid w:val="00611594"/>
    <w:rsid w:val="007D4813"/>
    <w:rsid w:val="008048EC"/>
    <w:rsid w:val="008C17A8"/>
    <w:rsid w:val="008F5648"/>
    <w:rsid w:val="00980F3F"/>
    <w:rsid w:val="00A3064F"/>
    <w:rsid w:val="00C20C1B"/>
    <w:rsid w:val="00C443B4"/>
    <w:rsid w:val="00C563E6"/>
    <w:rsid w:val="00D73F5D"/>
    <w:rsid w:val="00E4511E"/>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bsatz-Standardschriftart"/>
    <w:rsid w:val="0037579F"/>
  </w:style>
  <w:style w:type="table" w:styleId="Tabellenraster">
    <w:name w:val="Table Grid"/>
    <w:basedOn w:val="NormaleTabelle"/>
    <w:uiPriority w:val="59"/>
    <w:rsid w:val="008C1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H-_und_P-S%C3%A4tze" TargetMode="External"/><Relationship Id="rId18" Type="http://schemas.openxmlformats.org/officeDocument/2006/relationships/hyperlink" Target="http://de.wikipedia.org/wiki/H-_und_P-S%C3%A4tze"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de.wikipedia.org/wiki/H-_und_P-S%C3%A4tze" TargetMode="External"/><Relationship Id="rId12" Type="http://schemas.openxmlformats.org/officeDocument/2006/relationships/hyperlink" Target="http://de.wikipedia.org/wiki/H-_und_P-S%C3%A4tze" TargetMode="External"/><Relationship Id="rId17" Type="http://schemas.openxmlformats.org/officeDocument/2006/relationships/hyperlink" Target="http://de.wikipedia.org/wiki/H-_und_P-S%C3%A4tze"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e.wikipedia.org/wiki/H-_und_P-S%C3%A4tze" TargetMode="Externa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H-_und_P-S%C3%A4tze"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e.wikipedia.org/wiki/H-_und_P-S%C3%A4tze"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de.wikipedia.org/wiki/H-_und_P-S%C3%A4tze" TargetMode="External"/><Relationship Id="rId19" Type="http://schemas.openxmlformats.org/officeDocument/2006/relationships/hyperlink" Target="http://de.wikipedia.org/wiki/H-_und_P-S%C3%A4tz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hyperlink" Target="http://de.wikipedia.org/wiki/H-_und_P-S%C3%A4tze"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footer" Target="footer1.xml"/><Relationship Id="rId8" Type="http://schemas.openxmlformats.org/officeDocument/2006/relationships/hyperlink" Target="http://de.wikipedia.org/wiki/H-_und_P-S%C3%A4t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3</cp:revision>
  <cp:lastPrinted>2016-08-11T06:34:00Z</cp:lastPrinted>
  <dcterms:created xsi:type="dcterms:W3CDTF">2016-08-09T06:55:00Z</dcterms:created>
  <dcterms:modified xsi:type="dcterms:W3CDTF">2016-08-11T06:34:00Z</dcterms:modified>
</cp:coreProperties>
</file>