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AD" w:rsidRPr="00810D5A" w:rsidRDefault="00440BAD" w:rsidP="00440BAD">
      <w:pPr>
        <w:tabs>
          <w:tab w:val="left" w:pos="1701"/>
          <w:tab w:val="left" w:pos="1985"/>
        </w:tabs>
        <w:contextualSpacing/>
        <w:rPr>
          <w:rFonts w:asciiTheme="minorHAnsi" w:hAnsiTheme="minorHAnsi"/>
          <w:b/>
          <w:sz w:val="28"/>
        </w:rPr>
      </w:pPr>
      <w:r w:rsidRPr="00810D5A">
        <w:rPr>
          <w:rFonts w:asciiTheme="minorHAnsi" w:hAnsiTheme="minorHAnsi"/>
          <w:b/>
          <w:sz w:val="28"/>
        </w:rPr>
        <w:t xml:space="preserve">Arbeitsblatt – </w:t>
      </w:r>
      <w:r w:rsidRPr="00B15399">
        <w:rPr>
          <w:rFonts w:asciiTheme="minorHAnsi" w:hAnsiTheme="minorHAnsi"/>
          <w:b/>
          <w:sz w:val="28"/>
        </w:rPr>
        <w:t>Säure</w:t>
      </w:r>
      <w:r>
        <w:rPr>
          <w:rFonts w:asciiTheme="minorHAnsi" w:hAnsiTheme="minorHAnsi"/>
          <w:b/>
          <w:sz w:val="28"/>
        </w:rPr>
        <w:t>-</w:t>
      </w:r>
      <w:r w:rsidRPr="00B15399">
        <w:rPr>
          <w:rFonts w:asciiTheme="minorHAnsi" w:hAnsiTheme="minorHAnsi"/>
          <w:b/>
          <w:sz w:val="28"/>
        </w:rPr>
        <w:t xml:space="preserve"> und Baseeigenschaften nach Arrhenius und </w:t>
      </w:r>
      <w:r>
        <w:rPr>
          <w:rFonts w:asciiTheme="minorHAnsi" w:hAnsiTheme="minorHAnsi"/>
          <w:b/>
          <w:sz w:val="28"/>
        </w:rPr>
        <w:t>Brönsted</w:t>
      </w:r>
    </w:p>
    <w:p w:rsidR="00440BAD" w:rsidRDefault="00440BAD" w:rsidP="00440BAD">
      <w:pPr>
        <w:pStyle w:val="Listenabsatz"/>
        <w:numPr>
          <w:ilvl w:val="0"/>
          <w:numId w:val="5"/>
        </w:numPr>
        <w:spacing w:after="0" w:line="480" w:lineRule="auto"/>
        <w:rPr>
          <w:b/>
          <w:color w:val="auto"/>
        </w:rPr>
      </w:pPr>
      <w:r>
        <w:rPr>
          <w:b/>
          <w:color w:val="auto"/>
        </w:rPr>
        <w:t>Nenne die Säure- und Basedefinition nach Arrhenius.</w:t>
      </w:r>
    </w:p>
    <w:p w:rsidR="00440BAD" w:rsidRPr="00F31D3A" w:rsidRDefault="00440BAD" w:rsidP="00440BAD">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BAD" w:rsidRDefault="00440BAD" w:rsidP="00440BAD">
      <w:pPr>
        <w:pStyle w:val="Listenabsatz"/>
        <w:numPr>
          <w:ilvl w:val="0"/>
          <w:numId w:val="5"/>
        </w:numPr>
        <w:spacing w:after="0"/>
        <w:rPr>
          <w:b/>
          <w:color w:val="auto"/>
        </w:rPr>
      </w:pPr>
      <w:r>
        <w:rPr>
          <w:b/>
          <w:color w:val="auto"/>
        </w:rPr>
        <w:t>Erläutere anhand deiner Beobachtungen welche Grenzen das Säure-Base-Konzept nach Arrhenius aufweist und wie Brönsted diese Grenzen erweitert.</w:t>
      </w:r>
    </w:p>
    <w:p w:rsidR="00440BAD" w:rsidRDefault="00440BAD" w:rsidP="00440BAD">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w:t>
      </w:r>
    </w:p>
    <w:tbl>
      <w:tblPr>
        <w:tblStyle w:val="Tabellenraster"/>
        <w:tblW w:w="0" w:type="auto"/>
        <w:tblInd w:w="644" w:type="dxa"/>
        <w:tblLook w:val="04A0" w:firstRow="1" w:lastRow="0" w:firstColumn="1" w:lastColumn="0" w:noHBand="0" w:noVBand="1"/>
      </w:tblPr>
      <w:tblGrid>
        <w:gridCol w:w="2834"/>
        <w:gridCol w:w="2615"/>
        <w:gridCol w:w="2969"/>
      </w:tblGrid>
      <w:tr w:rsidR="00440BAD" w:rsidTr="000B072C">
        <w:tc>
          <w:tcPr>
            <w:tcW w:w="2834" w:type="dxa"/>
            <w:vAlign w:val="center"/>
          </w:tcPr>
          <w:p w:rsidR="00440BAD" w:rsidRDefault="00440BAD" w:rsidP="000B072C">
            <w:pPr>
              <w:pStyle w:val="Listenabsatz"/>
              <w:spacing w:line="480" w:lineRule="auto"/>
              <w:ind w:left="0"/>
              <w:jc w:val="center"/>
              <w:rPr>
                <w:color w:val="auto"/>
              </w:rPr>
            </w:pPr>
          </w:p>
        </w:tc>
        <w:tc>
          <w:tcPr>
            <w:tcW w:w="2615" w:type="dxa"/>
          </w:tcPr>
          <w:p w:rsidR="00440BAD" w:rsidRDefault="00440BAD" w:rsidP="000B072C">
            <w:pPr>
              <w:pStyle w:val="Listenabsatz"/>
              <w:spacing w:line="480" w:lineRule="auto"/>
              <w:ind w:left="0"/>
              <w:jc w:val="center"/>
              <w:rPr>
                <w:color w:val="auto"/>
              </w:rPr>
            </w:pPr>
            <w:r>
              <w:rPr>
                <w:color w:val="auto"/>
              </w:rPr>
              <w:t>Arrhenius</w:t>
            </w:r>
          </w:p>
        </w:tc>
        <w:tc>
          <w:tcPr>
            <w:tcW w:w="2969" w:type="dxa"/>
            <w:vAlign w:val="center"/>
          </w:tcPr>
          <w:p w:rsidR="00440BAD" w:rsidRDefault="00440BAD" w:rsidP="000B072C">
            <w:pPr>
              <w:pStyle w:val="Listenabsatz"/>
              <w:spacing w:line="480" w:lineRule="auto"/>
              <w:ind w:left="0"/>
              <w:jc w:val="center"/>
              <w:rPr>
                <w:color w:val="auto"/>
              </w:rPr>
            </w:pPr>
            <w:r>
              <w:rPr>
                <w:color w:val="auto"/>
              </w:rPr>
              <w:t>Brönsted</w:t>
            </w:r>
          </w:p>
        </w:tc>
      </w:tr>
      <w:tr w:rsidR="00440BAD" w:rsidTr="000B072C">
        <w:trPr>
          <w:trHeight w:val="624"/>
        </w:trPr>
        <w:tc>
          <w:tcPr>
            <w:tcW w:w="2834" w:type="dxa"/>
          </w:tcPr>
          <w:p w:rsidR="00440BAD" w:rsidRDefault="00440BAD" w:rsidP="000B072C">
            <w:pPr>
              <w:pStyle w:val="Listenabsatz"/>
              <w:spacing w:line="480" w:lineRule="auto"/>
              <w:ind w:left="0"/>
              <w:rPr>
                <w:color w:val="auto"/>
              </w:rPr>
            </w:pPr>
            <w:r>
              <w:rPr>
                <w:color w:val="auto"/>
              </w:rPr>
              <w:t>Definition des Säurebegriffes</w:t>
            </w:r>
          </w:p>
        </w:tc>
        <w:tc>
          <w:tcPr>
            <w:tcW w:w="2615" w:type="dxa"/>
          </w:tcPr>
          <w:p w:rsidR="00440BAD" w:rsidRDefault="00440BAD" w:rsidP="000B072C">
            <w:pPr>
              <w:pStyle w:val="Listenabsatz"/>
              <w:spacing w:line="480" w:lineRule="auto"/>
              <w:ind w:left="0"/>
              <w:rPr>
                <w:color w:val="auto"/>
              </w:rPr>
            </w:pPr>
          </w:p>
        </w:tc>
        <w:tc>
          <w:tcPr>
            <w:tcW w:w="2969" w:type="dxa"/>
          </w:tcPr>
          <w:p w:rsidR="00440BAD" w:rsidRDefault="00440BAD" w:rsidP="000B072C">
            <w:pPr>
              <w:pStyle w:val="Listenabsatz"/>
              <w:spacing w:line="480" w:lineRule="auto"/>
              <w:ind w:left="0"/>
              <w:rPr>
                <w:color w:val="auto"/>
              </w:rPr>
            </w:pPr>
          </w:p>
        </w:tc>
      </w:tr>
      <w:tr w:rsidR="00440BAD" w:rsidTr="000B072C">
        <w:trPr>
          <w:trHeight w:val="624"/>
        </w:trPr>
        <w:tc>
          <w:tcPr>
            <w:tcW w:w="2834" w:type="dxa"/>
          </w:tcPr>
          <w:p w:rsidR="00440BAD" w:rsidRDefault="00440BAD" w:rsidP="000B072C">
            <w:pPr>
              <w:pStyle w:val="Listenabsatz"/>
              <w:spacing w:line="480" w:lineRule="auto"/>
              <w:ind w:left="0"/>
              <w:rPr>
                <w:color w:val="auto"/>
              </w:rPr>
            </w:pPr>
            <w:r>
              <w:rPr>
                <w:color w:val="auto"/>
              </w:rPr>
              <w:t>Rolle des Wassers</w:t>
            </w:r>
          </w:p>
        </w:tc>
        <w:tc>
          <w:tcPr>
            <w:tcW w:w="2615" w:type="dxa"/>
          </w:tcPr>
          <w:p w:rsidR="00440BAD" w:rsidRDefault="00440BAD" w:rsidP="000B072C">
            <w:pPr>
              <w:pStyle w:val="Listenabsatz"/>
              <w:spacing w:line="480" w:lineRule="auto"/>
              <w:ind w:left="0"/>
              <w:rPr>
                <w:color w:val="auto"/>
              </w:rPr>
            </w:pPr>
          </w:p>
        </w:tc>
        <w:tc>
          <w:tcPr>
            <w:tcW w:w="2969" w:type="dxa"/>
          </w:tcPr>
          <w:p w:rsidR="00440BAD" w:rsidRDefault="00440BAD" w:rsidP="000B072C">
            <w:pPr>
              <w:pStyle w:val="Listenabsatz"/>
              <w:spacing w:line="480" w:lineRule="auto"/>
              <w:ind w:left="0"/>
              <w:rPr>
                <w:color w:val="auto"/>
              </w:rPr>
            </w:pPr>
          </w:p>
        </w:tc>
      </w:tr>
      <w:tr w:rsidR="00440BAD" w:rsidTr="000B072C">
        <w:trPr>
          <w:trHeight w:val="624"/>
        </w:trPr>
        <w:tc>
          <w:tcPr>
            <w:tcW w:w="2834" w:type="dxa"/>
          </w:tcPr>
          <w:p w:rsidR="00440BAD" w:rsidRDefault="00440BAD" w:rsidP="000B072C">
            <w:pPr>
              <w:pStyle w:val="Listenabsatz"/>
              <w:spacing w:line="480" w:lineRule="auto"/>
              <w:ind w:left="0"/>
              <w:rPr>
                <w:color w:val="auto"/>
              </w:rPr>
            </w:pPr>
            <w:r>
              <w:rPr>
                <w:color w:val="auto"/>
              </w:rPr>
              <w:t>Definition des Basebegriffes</w:t>
            </w:r>
          </w:p>
        </w:tc>
        <w:tc>
          <w:tcPr>
            <w:tcW w:w="2615" w:type="dxa"/>
          </w:tcPr>
          <w:p w:rsidR="00440BAD" w:rsidRDefault="00440BAD" w:rsidP="000B072C">
            <w:pPr>
              <w:pStyle w:val="Listenabsatz"/>
              <w:spacing w:line="480" w:lineRule="auto"/>
              <w:ind w:left="0"/>
              <w:rPr>
                <w:color w:val="auto"/>
              </w:rPr>
            </w:pPr>
          </w:p>
        </w:tc>
        <w:tc>
          <w:tcPr>
            <w:tcW w:w="2969" w:type="dxa"/>
          </w:tcPr>
          <w:p w:rsidR="00440BAD" w:rsidRDefault="00440BAD" w:rsidP="000B072C">
            <w:pPr>
              <w:pStyle w:val="Listenabsatz"/>
              <w:spacing w:line="480" w:lineRule="auto"/>
              <w:ind w:left="0"/>
              <w:rPr>
                <w:color w:val="auto"/>
              </w:rPr>
            </w:pPr>
          </w:p>
        </w:tc>
      </w:tr>
      <w:tr w:rsidR="00440BAD" w:rsidTr="000B072C">
        <w:trPr>
          <w:trHeight w:val="2154"/>
        </w:trPr>
        <w:tc>
          <w:tcPr>
            <w:tcW w:w="2834" w:type="dxa"/>
          </w:tcPr>
          <w:p w:rsidR="00440BAD" w:rsidRDefault="00440BAD" w:rsidP="000B072C">
            <w:pPr>
              <w:pStyle w:val="Listenabsatz"/>
              <w:spacing w:line="480" w:lineRule="auto"/>
              <w:ind w:left="0"/>
              <w:rPr>
                <w:color w:val="auto"/>
              </w:rPr>
            </w:pPr>
            <w:r>
              <w:rPr>
                <w:color w:val="auto"/>
              </w:rPr>
              <w:t>Eingrenzung der Stoffklassen</w:t>
            </w:r>
          </w:p>
        </w:tc>
        <w:tc>
          <w:tcPr>
            <w:tcW w:w="2615" w:type="dxa"/>
          </w:tcPr>
          <w:p w:rsidR="00440BAD" w:rsidRDefault="00440BAD" w:rsidP="000B072C">
            <w:pPr>
              <w:pStyle w:val="Listenabsatz"/>
              <w:spacing w:line="480" w:lineRule="auto"/>
              <w:ind w:left="0"/>
              <w:rPr>
                <w:color w:val="auto"/>
              </w:rPr>
            </w:pPr>
          </w:p>
        </w:tc>
        <w:tc>
          <w:tcPr>
            <w:tcW w:w="2969" w:type="dxa"/>
          </w:tcPr>
          <w:p w:rsidR="00440BAD" w:rsidRDefault="00440BAD" w:rsidP="000B072C">
            <w:pPr>
              <w:pStyle w:val="Listenabsatz"/>
              <w:spacing w:line="480" w:lineRule="auto"/>
              <w:ind w:left="0"/>
              <w:rPr>
                <w:color w:val="auto"/>
              </w:rPr>
            </w:pPr>
          </w:p>
        </w:tc>
      </w:tr>
    </w:tbl>
    <w:p w:rsidR="00440BAD" w:rsidRPr="00F31D3A" w:rsidRDefault="00440BAD" w:rsidP="00440BAD">
      <w:pPr>
        <w:pStyle w:val="Listenabsatz"/>
        <w:spacing w:after="0" w:line="480" w:lineRule="auto"/>
        <w:ind w:left="644"/>
        <w:rPr>
          <w:color w:val="auto"/>
        </w:rPr>
      </w:pPr>
    </w:p>
    <w:p w:rsidR="00440BAD" w:rsidRPr="00B15399" w:rsidRDefault="00440BAD" w:rsidP="00440BAD">
      <w:pPr>
        <w:pStyle w:val="Listenabsatz"/>
        <w:numPr>
          <w:ilvl w:val="0"/>
          <w:numId w:val="5"/>
        </w:numPr>
        <w:spacing w:after="0"/>
        <w:rPr>
          <w:b/>
          <w:color w:val="auto"/>
        </w:rPr>
      </w:pPr>
      <w:r>
        <w:rPr>
          <w:b/>
          <w:color w:val="auto"/>
        </w:rPr>
        <w:t>Bei einem Chemieunfall werden 50 kg Ammoniumchlorid freigesetzt. Beurteile ob dies ein Problem darstellt und gib an, wie dieses Problem gelöst werden könnte</w:t>
      </w:r>
    </w:p>
    <w:p w:rsidR="00440BAD" w:rsidRPr="00F31D3A" w:rsidRDefault="00440BAD" w:rsidP="00440BAD">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BAD" w:rsidRPr="00810D5A" w:rsidRDefault="00440BAD" w:rsidP="00440BAD">
      <w:pPr>
        <w:contextualSpacing/>
        <w:rPr>
          <w:rFonts w:asciiTheme="minorHAnsi" w:hAnsiTheme="minorHAnsi"/>
        </w:rPr>
        <w:sectPr w:rsidR="00440BAD" w:rsidRPr="00810D5A" w:rsidSect="0049087A">
          <w:headerReference w:type="default" r:id="rId5"/>
          <w:pgSz w:w="11906" w:h="16838"/>
          <w:pgMar w:top="1417" w:right="1417" w:bottom="709" w:left="1417" w:header="708" w:footer="708" w:gutter="0"/>
          <w:pgNumType w:start="0"/>
          <w:cols w:space="708"/>
          <w:docGrid w:linePitch="360"/>
        </w:sectPr>
      </w:pPr>
      <w:r w:rsidRPr="00810D5A">
        <w:rPr>
          <w:rFonts w:asciiTheme="minorHAnsi" w:hAnsiTheme="minorHAnsi"/>
        </w:rPr>
        <w:t xml:space="preserve"> </w:t>
      </w:r>
    </w:p>
    <w:p w:rsidR="00440BAD" w:rsidRPr="00810D5A" w:rsidRDefault="00440BAD" w:rsidP="00440BAD">
      <w:pPr>
        <w:pStyle w:val="berschrift1"/>
        <w:spacing w:before="360" w:after="240"/>
        <w:ind w:left="432" w:hanging="432"/>
        <w:contextualSpacing/>
        <w:rPr>
          <w:rFonts w:asciiTheme="minorHAnsi" w:hAnsiTheme="minorHAnsi"/>
          <w:color w:val="auto"/>
        </w:rPr>
      </w:pPr>
      <w:bookmarkStart w:id="0" w:name="_Toc458093659"/>
      <w:r w:rsidRPr="00810D5A">
        <w:rPr>
          <w:rFonts w:asciiTheme="minorHAnsi" w:hAnsiTheme="minorHAnsi"/>
          <w:color w:val="auto"/>
        </w:rPr>
        <w:lastRenderedPageBreak/>
        <w:t>Didaktischer Kommentar zum Schülerarbeitsblatt</w:t>
      </w:r>
      <w:bookmarkEnd w:id="0"/>
    </w:p>
    <w:p w:rsidR="00440BAD" w:rsidRPr="00810D5A" w:rsidRDefault="00440BAD" w:rsidP="00440BAD">
      <w:pPr>
        <w:contextualSpacing/>
        <w:rPr>
          <w:rFonts w:asciiTheme="minorHAnsi" w:hAnsiTheme="minorHAnsi"/>
          <w:color w:val="auto"/>
        </w:rPr>
      </w:pPr>
      <w:r>
        <w:rPr>
          <w:rFonts w:asciiTheme="minorHAnsi" w:hAnsiTheme="minorHAnsi"/>
          <w:color w:val="auto"/>
        </w:rPr>
        <w:t>Das Arbeitsblatt wird bei dem zweiten Schülerversuch (V4) eingesetzt, um diesen auszuwerten. Dabei werden die Säure-Base-Konzepte von Arrhenius und Brönsted verglichen und Unterschiede herausgearbeitet.</w:t>
      </w:r>
    </w:p>
    <w:p w:rsidR="00440BAD" w:rsidRPr="00B45F70" w:rsidRDefault="00440BAD" w:rsidP="00440BAD">
      <w:pPr>
        <w:pStyle w:val="berschrift2"/>
        <w:numPr>
          <w:ilvl w:val="1"/>
          <w:numId w:val="0"/>
        </w:numPr>
        <w:spacing w:before="200" w:after="200"/>
        <w:ind w:left="576" w:hanging="576"/>
        <w:contextualSpacing/>
        <w:rPr>
          <w:rFonts w:asciiTheme="minorHAnsi" w:hAnsiTheme="minorHAnsi"/>
          <w:color w:val="auto"/>
          <w:sz w:val="28"/>
          <w:szCs w:val="28"/>
        </w:rPr>
      </w:pPr>
      <w:bookmarkStart w:id="1" w:name="_Toc458093660"/>
      <w:r w:rsidRPr="00B45F70">
        <w:rPr>
          <w:rFonts w:asciiTheme="minorHAnsi" w:hAnsiTheme="minorHAnsi"/>
          <w:color w:val="auto"/>
          <w:sz w:val="28"/>
          <w:szCs w:val="28"/>
        </w:rPr>
        <w:t>Erwartungshorizont (Kerncurriculum)</w:t>
      </w:r>
      <w:bookmarkEnd w:id="1"/>
    </w:p>
    <w:p w:rsidR="00440BAD" w:rsidRDefault="00440BAD" w:rsidP="00440BAD">
      <w:pPr>
        <w:pStyle w:val="Listenabsatz"/>
        <w:tabs>
          <w:tab w:val="left" w:pos="0"/>
        </w:tabs>
        <w:spacing w:line="360" w:lineRule="auto"/>
        <w:rPr>
          <w:color w:val="auto"/>
        </w:rPr>
      </w:pPr>
      <w:r>
        <w:rPr>
          <w:color w:val="auto"/>
        </w:rPr>
        <w:t>In der ersten Aufgabe wird das Vorwissen der SuS aktiviert. Sie formulieren, wie Arrhenius Säuren und Basen definiert hat. Dabei werden das Fachwissen und die Kommunikation gefördert im Bereich des Basiskonzepts der Chemischen Reaktion. Da bereits Bekanntes  reproduziert werden soll, handelt es sich um den Anforderungsbereich I.</w:t>
      </w:r>
    </w:p>
    <w:p w:rsidR="00440BAD" w:rsidRDefault="00440BAD" w:rsidP="00440BAD">
      <w:pPr>
        <w:pStyle w:val="Listenabsatz"/>
        <w:tabs>
          <w:tab w:val="left" w:pos="0"/>
        </w:tabs>
        <w:spacing w:line="360" w:lineRule="auto"/>
        <w:rPr>
          <w:color w:val="auto"/>
        </w:rPr>
      </w:pPr>
      <w:r>
        <w:rPr>
          <w:color w:val="auto"/>
        </w:rPr>
        <w:t>In der zweiten Aufgabe sollen die SuS anhand ihrer Beobachtungen die Grenzen des Säure-Base-Konzepts von Arrhenius erläutern und es mit dem Konzept von Brönsted vergleichen. Dabei werden die Kompetenzbereiche Erkenntnisgewinnung und Kommunikation im Basiskonzept der Chemischen Reaktion gefördert. Dabei handelt es sich um den Anforderungsbereich II, da sie ihr Verständnis der Säure-Base-Konzepte einbringen und dieses anwenden.</w:t>
      </w:r>
    </w:p>
    <w:p w:rsidR="00440BAD" w:rsidRDefault="00440BAD" w:rsidP="00440BAD">
      <w:pPr>
        <w:pStyle w:val="Listenabsatz"/>
        <w:tabs>
          <w:tab w:val="left" w:pos="0"/>
        </w:tabs>
        <w:spacing w:line="360" w:lineRule="auto"/>
        <w:rPr>
          <w:color w:val="auto"/>
        </w:rPr>
      </w:pPr>
    </w:p>
    <w:p w:rsidR="00440BAD" w:rsidRDefault="00440BAD" w:rsidP="00440BAD">
      <w:pPr>
        <w:pStyle w:val="Listenabsatz"/>
        <w:tabs>
          <w:tab w:val="left" w:pos="0"/>
        </w:tabs>
        <w:spacing w:line="360" w:lineRule="auto"/>
        <w:rPr>
          <w:color w:val="auto"/>
        </w:rPr>
      </w:pPr>
      <w:r>
        <w:rPr>
          <w:color w:val="auto"/>
        </w:rPr>
        <w:t>In der dritten Aufgabe handelt es sich um den Anforderungsbereich III, da die SuS mit einem möglichen gesellschaftsrelevanten Problem konfrontiert werden. In dieser Aufgabe wird der Kompetenzbereich des Bewertens angesprochen im Basiskonzept Chemische Reaktion.</w:t>
      </w:r>
      <w:r w:rsidRPr="00810D5A">
        <w:rPr>
          <w:color w:val="auto"/>
        </w:rPr>
        <w:t xml:space="preserve"> </w:t>
      </w:r>
    </w:p>
    <w:p w:rsidR="00440BAD" w:rsidRDefault="00440BAD" w:rsidP="00440BAD">
      <w:pPr>
        <w:pStyle w:val="Listenabsatz"/>
        <w:tabs>
          <w:tab w:val="left" w:pos="0"/>
        </w:tabs>
        <w:rPr>
          <w:color w:val="auto"/>
        </w:rPr>
      </w:pPr>
    </w:p>
    <w:p w:rsidR="00440BAD" w:rsidRPr="00B45F70" w:rsidRDefault="00440BAD" w:rsidP="00440BAD">
      <w:pPr>
        <w:pStyle w:val="berschrift2"/>
        <w:numPr>
          <w:ilvl w:val="1"/>
          <w:numId w:val="0"/>
        </w:numPr>
        <w:spacing w:before="200" w:after="200"/>
        <w:ind w:left="576" w:hanging="576"/>
        <w:rPr>
          <w:rFonts w:asciiTheme="minorHAnsi" w:hAnsiTheme="minorHAnsi"/>
          <w:b w:val="0"/>
          <w:color w:val="auto"/>
          <w:sz w:val="28"/>
          <w:szCs w:val="28"/>
        </w:rPr>
      </w:pPr>
      <w:bookmarkStart w:id="2" w:name="_Toc458093661"/>
      <w:r w:rsidRPr="00B45F70">
        <w:rPr>
          <w:rStyle w:val="berschrift1Zchn"/>
          <w:rFonts w:asciiTheme="minorHAnsi" w:hAnsiTheme="minorHAnsi"/>
          <w:b w:val="0"/>
        </w:rPr>
        <w:t>Erwartungshorizont (Inhaltlich</w:t>
      </w:r>
      <w:r w:rsidRPr="00B45F70">
        <w:rPr>
          <w:rFonts w:asciiTheme="minorHAnsi" w:hAnsiTheme="minorHAnsi"/>
          <w:b w:val="0"/>
          <w:color w:val="auto"/>
          <w:sz w:val="28"/>
          <w:szCs w:val="28"/>
        </w:rPr>
        <w:t>)</w:t>
      </w:r>
      <w:bookmarkEnd w:id="2"/>
    </w:p>
    <w:p w:rsidR="00440BAD" w:rsidRDefault="00440BAD" w:rsidP="00440BAD">
      <w:pPr>
        <w:pStyle w:val="Listenabsatz"/>
        <w:numPr>
          <w:ilvl w:val="0"/>
          <w:numId w:val="6"/>
        </w:numPr>
        <w:spacing w:after="0" w:line="480" w:lineRule="auto"/>
        <w:ind w:left="709" w:hanging="567"/>
        <w:rPr>
          <w:b/>
          <w:color w:val="auto"/>
        </w:rPr>
      </w:pPr>
      <w:r>
        <w:rPr>
          <w:b/>
          <w:color w:val="auto"/>
        </w:rPr>
        <w:t>Nenne die Säure- und Basedefinition nach Arrhenius.</w:t>
      </w:r>
    </w:p>
    <w:p w:rsidR="00440BAD" w:rsidRDefault="00440BAD" w:rsidP="00440BAD">
      <w:pPr>
        <w:pStyle w:val="Listenabsatz"/>
        <w:spacing w:after="0" w:line="360" w:lineRule="auto"/>
        <w:ind w:left="644"/>
        <w:rPr>
          <w:color w:val="auto"/>
        </w:rPr>
      </w:pPr>
      <w:r>
        <w:rPr>
          <w:color w:val="auto"/>
        </w:rPr>
        <w:t>Säuren sind Verbindungen, die in wässriger Lösung Hydroxonium-Ionen abgeben.</w:t>
      </w:r>
    </w:p>
    <w:p w:rsidR="00440BAD" w:rsidRDefault="00440BAD" w:rsidP="00440BAD">
      <w:pPr>
        <w:pStyle w:val="Listenabsatz"/>
        <w:spacing w:after="0" w:line="360" w:lineRule="auto"/>
        <w:ind w:left="644"/>
        <w:rPr>
          <w:color w:val="auto"/>
        </w:rPr>
      </w:pPr>
      <w:r>
        <w:rPr>
          <w:color w:val="auto"/>
        </w:rPr>
        <w:t>Basen sind Verbindungen, die in wässrigen Lösungen Hydroxid-Ionen abgeben, meist handelt es sich dabei um Metalloxide.</w:t>
      </w:r>
    </w:p>
    <w:p w:rsidR="00440BAD" w:rsidRPr="00F31D3A" w:rsidRDefault="00440BAD" w:rsidP="00440BAD">
      <w:pPr>
        <w:pStyle w:val="Listenabsatz"/>
        <w:spacing w:after="0" w:line="360" w:lineRule="auto"/>
        <w:ind w:left="644"/>
        <w:rPr>
          <w:color w:val="auto"/>
        </w:rPr>
      </w:pPr>
    </w:p>
    <w:p w:rsidR="00440BAD" w:rsidRDefault="00440BAD" w:rsidP="00440BAD">
      <w:pPr>
        <w:pStyle w:val="Listenabsatz"/>
        <w:numPr>
          <w:ilvl w:val="0"/>
          <w:numId w:val="6"/>
        </w:numPr>
        <w:spacing w:after="0" w:line="360" w:lineRule="auto"/>
        <w:ind w:left="709" w:hanging="709"/>
        <w:rPr>
          <w:b/>
          <w:color w:val="auto"/>
        </w:rPr>
      </w:pPr>
      <w:r>
        <w:rPr>
          <w:b/>
          <w:color w:val="auto"/>
        </w:rPr>
        <w:t>Erläutere anhand deiner Beobachtungen welche Grenzen das Säure-Base-Konzept nach Arrhenius aufweist und wie Brönsted diese Grenzen erweitert.</w:t>
      </w:r>
    </w:p>
    <w:p w:rsidR="00440BAD" w:rsidRDefault="00440BAD" w:rsidP="00440BAD">
      <w:pPr>
        <w:pStyle w:val="Listenabsatz"/>
        <w:spacing w:after="0" w:line="360" w:lineRule="auto"/>
        <w:ind w:left="709"/>
        <w:rPr>
          <w:b/>
          <w:color w:val="auto"/>
        </w:rPr>
      </w:pPr>
    </w:p>
    <w:p w:rsidR="00440BAD" w:rsidRDefault="00440BAD" w:rsidP="00440BAD">
      <w:pPr>
        <w:pStyle w:val="Listenabsatz"/>
        <w:spacing w:after="0" w:line="360" w:lineRule="auto"/>
        <w:ind w:left="644"/>
        <w:rPr>
          <w:color w:val="auto"/>
        </w:rPr>
      </w:pPr>
      <w:r>
        <w:rPr>
          <w:color w:val="auto"/>
        </w:rPr>
        <w:lastRenderedPageBreak/>
        <w:t>Nach Arrhenius wären Ammoniak oder Acetat keine Säuren oder Basen, da sie weder Hydroxonium-, noch Hydroxid-Ionen in wässriger Lösung abgeben. Trotzdem verändert sich der pH-Wert der Lösung.</w:t>
      </w:r>
    </w:p>
    <w:p w:rsidR="00440BAD" w:rsidRDefault="00440BAD" w:rsidP="00440BAD">
      <w:pPr>
        <w:pStyle w:val="Listenabsatz"/>
        <w:spacing w:after="0" w:line="360" w:lineRule="auto"/>
        <w:ind w:left="644"/>
        <w:rPr>
          <w:color w:val="auto"/>
        </w:rPr>
      </w:pPr>
    </w:p>
    <w:tbl>
      <w:tblPr>
        <w:tblStyle w:val="Tabellenraster"/>
        <w:tblW w:w="0" w:type="auto"/>
        <w:tblInd w:w="644" w:type="dxa"/>
        <w:tblLook w:val="04A0" w:firstRow="1" w:lastRow="0" w:firstColumn="1" w:lastColumn="0" w:noHBand="0" w:noVBand="1"/>
      </w:tblPr>
      <w:tblGrid>
        <w:gridCol w:w="2834"/>
        <w:gridCol w:w="2615"/>
        <w:gridCol w:w="2969"/>
      </w:tblGrid>
      <w:tr w:rsidR="00440BAD" w:rsidTr="000B072C">
        <w:tc>
          <w:tcPr>
            <w:tcW w:w="2834" w:type="dxa"/>
            <w:vAlign w:val="center"/>
          </w:tcPr>
          <w:p w:rsidR="00440BAD" w:rsidRPr="00B76EB8" w:rsidRDefault="00440BAD" w:rsidP="000B072C">
            <w:pPr>
              <w:pStyle w:val="Listenabsatz"/>
              <w:ind w:left="0"/>
              <w:rPr>
                <w:color w:val="auto"/>
              </w:rPr>
            </w:pPr>
          </w:p>
        </w:tc>
        <w:tc>
          <w:tcPr>
            <w:tcW w:w="2615" w:type="dxa"/>
          </w:tcPr>
          <w:p w:rsidR="00440BAD" w:rsidRPr="00B76EB8" w:rsidRDefault="00440BAD" w:rsidP="000B072C">
            <w:pPr>
              <w:pStyle w:val="Listenabsatz"/>
              <w:ind w:left="0"/>
              <w:rPr>
                <w:color w:val="auto"/>
              </w:rPr>
            </w:pPr>
            <w:r w:rsidRPr="00B76EB8">
              <w:rPr>
                <w:color w:val="auto"/>
              </w:rPr>
              <w:t>Arrhenius</w:t>
            </w:r>
          </w:p>
        </w:tc>
        <w:tc>
          <w:tcPr>
            <w:tcW w:w="2969" w:type="dxa"/>
            <w:vAlign w:val="center"/>
          </w:tcPr>
          <w:p w:rsidR="00440BAD" w:rsidRPr="00B76EB8" w:rsidRDefault="00440BAD" w:rsidP="000B072C">
            <w:pPr>
              <w:pStyle w:val="Listenabsatz"/>
              <w:ind w:left="0"/>
              <w:rPr>
                <w:color w:val="auto"/>
              </w:rPr>
            </w:pPr>
            <w:r w:rsidRPr="00B76EB8">
              <w:rPr>
                <w:color w:val="auto"/>
              </w:rPr>
              <w:t>Brönsted</w:t>
            </w:r>
          </w:p>
        </w:tc>
      </w:tr>
      <w:tr w:rsidR="00440BAD" w:rsidTr="000B072C">
        <w:trPr>
          <w:trHeight w:val="624"/>
        </w:trPr>
        <w:tc>
          <w:tcPr>
            <w:tcW w:w="2834" w:type="dxa"/>
          </w:tcPr>
          <w:p w:rsidR="00440BAD" w:rsidRPr="00B76EB8" w:rsidRDefault="00440BAD" w:rsidP="000B072C">
            <w:pPr>
              <w:pStyle w:val="Listenabsatz"/>
              <w:ind w:left="0"/>
              <w:rPr>
                <w:color w:val="auto"/>
              </w:rPr>
            </w:pPr>
            <w:r w:rsidRPr="00B76EB8">
              <w:rPr>
                <w:color w:val="auto"/>
              </w:rPr>
              <w:t>Definition des Säurebegriffes</w:t>
            </w:r>
          </w:p>
        </w:tc>
        <w:tc>
          <w:tcPr>
            <w:tcW w:w="2615" w:type="dxa"/>
          </w:tcPr>
          <w:p w:rsidR="00440BAD" w:rsidRPr="00B76EB8" w:rsidRDefault="00440BAD" w:rsidP="000B072C">
            <w:pPr>
              <w:pStyle w:val="Listenabsatz"/>
              <w:ind w:left="0"/>
              <w:rPr>
                <w:color w:val="auto"/>
              </w:rPr>
            </w:pPr>
            <w:r w:rsidRPr="00B76EB8">
              <w:rPr>
                <w:color w:val="auto"/>
              </w:rPr>
              <w:t>Säuren geben H</w:t>
            </w:r>
            <w:r w:rsidRPr="00B76EB8">
              <w:rPr>
                <w:color w:val="auto"/>
                <w:vertAlign w:val="superscript"/>
              </w:rPr>
              <w:t>+</w:t>
            </w:r>
            <w:r w:rsidRPr="00B76EB8">
              <w:rPr>
                <w:color w:val="auto"/>
              </w:rPr>
              <w:t>-Ionen ab</w:t>
            </w:r>
          </w:p>
        </w:tc>
        <w:tc>
          <w:tcPr>
            <w:tcW w:w="2969" w:type="dxa"/>
          </w:tcPr>
          <w:p w:rsidR="00440BAD" w:rsidRPr="00B76EB8" w:rsidRDefault="00440BAD" w:rsidP="000B072C">
            <w:pPr>
              <w:pStyle w:val="Listenabsatz"/>
              <w:ind w:left="0"/>
              <w:rPr>
                <w:color w:val="auto"/>
              </w:rPr>
            </w:pPr>
            <w:r w:rsidRPr="00B76EB8">
              <w:rPr>
                <w:color w:val="auto"/>
              </w:rPr>
              <w:t>Säuren sind Protonendonatoren</w:t>
            </w:r>
          </w:p>
        </w:tc>
      </w:tr>
      <w:tr w:rsidR="00440BAD" w:rsidTr="000B072C">
        <w:trPr>
          <w:trHeight w:val="624"/>
        </w:trPr>
        <w:tc>
          <w:tcPr>
            <w:tcW w:w="2834" w:type="dxa"/>
          </w:tcPr>
          <w:p w:rsidR="00440BAD" w:rsidRPr="00B76EB8" w:rsidRDefault="00440BAD" w:rsidP="000B072C">
            <w:pPr>
              <w:pStyle w:val="Listenabsatz"/>
              <w:ind w:left="0"/>
              <w:rPr>
                <w:color w:val="auto"/>
              </w:rPr>
            </w:pPr>
            <w:r w:rsidRPr="00B76EB8">
              <w:rPr>
                <w:color w:val="auto"/>
              </w:rPr>
              <w:t>Rolle des Wassers</w:t>
            </w:r>
          </w:p>
        </w:tc>
        <w:tc>
          <w:tcPr>
            <w:tcW w:w="2615" w:type="dxa"/>
          </w:tcPr>
          <w:p w:rsidR="00440BAD" w:rsidRPr="00B76EB8" w:rsidRDefault="00440BAD" w:rsidP="000B072C">
            <w:pPr>
              <w:pStyle w:val="Listenabsatz"/>
              <w:ind w:left="0"/>
              <w:rPr>
                <w:color w:val="auto"/>
              </w:rPr>
            </w:pPr>
            <w:r w:rsidRPr="00B76EB8">
              <w:rPr>
                <w:color w:val="auto"/>
              </w:rPr>
              <w:t>ist das Lösungsmittel</w:t>
            </w:r>
          </w:p>
        </w:tc>
        <w:tc>
          <w:tcPr>
            <w:tcW w:w="2969" w:type="dxa"/>
          </w:tcPr>
          <w:p w:rsidR="00440BAD" w:rsidRPr="00B76EB8" w:rsidRDefault="00440BAD" w:rsidP="000B072C">
            <w:pPr>
              <w:pStyle w:val="Listenabsatz"/>
              <w:ind w:left="0"/>
              <w:rPr>
                <w:color w:val="auto"/>
              </w:rPr>
            </w:pPr>
            <w:r w:rsidRPr="00B76EB8">
              <w:rPr>
                <w:color w:val="auto"/>
              </w:rPr>
              <w:t>ist eine Säure und Base (Ampholyt)</w:t>
            </w:r>
          </w:p>
        </w:tc>
      </w:tr>
      <w:tr w:rsidR="00440BAD" w:rsidTr="000B072C">
        <w:trPr>
          <w:trHeight w:val="624"/>
        </w:trPr>
        <w:tc>
          <w:tcPr>
            <w:tcW w:w="2834" w:type="dxa"/>
          </w:tcPr>
          <w:p w:rsidR="00440BAD" w:rsidRPr="00B76EB8" w:rsidRDefault="00440BAD" w:rsidP="000B072C">
            <w:pPr>
              <w:pStyle w:val="Listenabsatz"/>
              <w:ind w:left="0"/>
              <w:rPr>
                <w:color w:val="auto"/>
              </w:rPr>
            </w:pPr>
            <w:r w:rsidRPr="00B76EB8">
              <w:rPr>
                <w:color w:val="auto"/>
              </w:rPr>
              <w:t>Definition des Basebegriffes</w:t>
            </w:r>
          </w:p>
        </w:tc>
        <w:tc>
          <w:tcPr>
            <w:tcW w:w="2615" w:type="dxa"/>
          </w:tcPr>
          <w:p w:rsidR="00440BAD" w:rsidRPr="00B76EB8" w:rsidRDefault="00440BAD" w:rsidP="000B072C">
            <w:pPr>
              <w:pStyle w:val="Listenabsatz"/>
              <w:ind w:left="0"/>
              <w:rPr>
                <w:color w:val="auto"/>
              </w:rPr>
            </w:pPr>
            <w:r w:rsidRPr="00B76EB8">
              <w:rPr>
                <w:rFonts w:cs="Arial"/>
              </w:rPr>
              <w:t>analog zur Säuredefinition formuliert</w:t>
            </w:r>
          </w:p>
        </w:tc>
        <w:tc>
          <w:tcPr>
            <w:tcW w:w="2969" w:type="dxa"/>
          </w:tcPr>
          <w:p w:rsidR="00440BAD" w:rsidRPr="00B76EB8" w:rsidRDefault="00440BAD" w:rsidP="000B072C">
            <w:pPr>
              <w:pStyle w:val="Listenabsatz"/>
              <w:ind w:left="0"/>
              <w:rPr>
                <w:color w:val="auto"/>
              </w:rPr>
            </w:pPr>
            <w:r w:rsidRPr="00B76EB8">
              <w:rPr>
                <w:color w:val="auto"/>
              </w:rPr>
              <w:t>Basen sind Protonenakzeptoren</w:t>
            </w:r>
          </w:p>
        </w:tc>
      </w:tr>
      <w:tr w:rsidR="00440BAD" w:rsidTr="000B072C">
        <w:trPr>
          <w:trHeight w:val="794"/>
        </w:trPr>
        <w:tc>
          <w:tcPr>
            <w:tcW w:w="2834" w:type="dxa"/>
          </w:tcPr>
          <w:p w:rsidR="00440BAD" w:rsidRPr="00B76EB8" w:rsidRDefault="00440BAD" w:rsidP="000B072C">
            <w:pPr>
              <w:pStyle w:val="Listenabsatz"/>
              <w:ind w:left="0"/>
              <w:rPr>
                <w:color w:val="auto"/>
              </w:rPr>
            </w:pPr>
            <w:r w:rsidRPr="00B76EB8">
              <w:rPr>
                <w:color w:val="auto"/>
              </w:rPr>
              <w:t>Eingrenzung der Stoffklassen</w:t>
            </w:r>
          </w:p>
        </w:tc>
        <w:tc>
          <w:tcPr>
            <w:tcW w:w="2615" w:type="dxa"/>
          </w:tcPr>
          <w:p w:rsidR="00440BAD" w:rsidRPr="00B76EB8" w:rsidRDefault="00440BAD" w:rsidP="000B072C">
            <w:pPr>
              <w:pStyle w:val="Listenabsatz"/>
              <w:ind w:left="0"/>
              <w:rPr>
                <w:color w:val="auto"/>
              </w:rPr>
            </w:pPr>
            <w:r w:rsidRPr="00B76EB8">
              <w:rPr>
                <w:rFonts w:cs="Arial"/>
              </w:rPr>
              <w:t>fixierte Stoffklassen: Basen müssen Metallhydroxide, Säuren müssen Wasserstoffverbindungen sein</w:t>
            </w:r>
          </w:p>
        </w:tc>
        <w:tc>
          <w:tcPr>
            <w:tcW w:w="2969" w:type="dxa"/>
          </w:tcPr>
          <w:p w:rsidR="00440BAD" w:rsidRPr="00B76EB8" w:rsidRDefault="00440BAD" w:rsidP="000B072C">
            <w:pPr>
              <w:pStyle w:val="Listenabsatz"/>
              <w:ind w:left="0"/>
              <w:rPr>
                <w:rFonts w:cs="Arial"/>
              </w:rPr>
            </w:pPr>
            <w:r w:rsidRPr="00B76EB8">
              <w:rPr>
                <w:rFonts w:cs="Arial"/>
              </w:rPr>
              <w:t>Konzept nur auf Wasserstoffverbindungen anwendbar (Eingrenzung)</w:t>
            </w:r>
          </w:p>
          <w:p w:rsidR="00440BAD" w:rsidRPr="00B76EB8" w:rsidRDefault="00440BAD" w:rsidP="000B072C">
            <w:pPr>
              <w:pStyle w:val="Listenabsatz"/>
              <w:ind w:left="0"/>
              <w:rPr>
                <w:rFonts w:cs="Arial"/>
              </w:rPr>
            </w:pPr>
            <w:r w:rsidRPr="00B76EB8">
              <w:rPr>
                <w:rFonts w:cs="Arial"/>
              </w:rPr>
              <w:t>Aber: Auch Stoffe, die keine Hydroxidionen enthalten, werden als Basen gesehen</w:t>
            </w:r>
          </w:p>
          <w:p w:rsidR="00440BAD" w:rsidRPr="00B76EB8" w:rsidRDefault="00440BAD" w:rsidP="000B072C">
            <w:pPr>
              <w:pStyle w:val="Listenabsatz"/>
              <w:ind w:left="0"/>
              <w:rPr>
                <w:rFonts w:cs="Arial"/>
              </w:rPr>
            </w:pPr>
            <w:r w:rsidRPr="00B76EB8">
              <w:rPr>
                <w:rFonts w:cs="Arial"/>
              </w:rPr>
              <w:t>(keine Eingrenzung).</w:t>
            </w:r>
          </w:p>
          <w:p w:rsidR="00440BAD" w:rsidRPr="00B76EB8" w:rsidRDefault="00440BAD" w:rsidP="000B072C">
            <w:pPr>
              <w:pStyle w:val="Listenabsatz"/>
              <w:ind w:left="0"/>
              <w:rPr>
                <w:color w:val="auto"/>
              </w:rPr>
            </w:pPr>
            <w:r w:rsidRPr="00B76EB8">
              <w:rPr>
                <w:rFonts w:cs="Arial"/>
              </w:rPr>
              <w:t>Es gibt Ampholyte, wie Wasser oder Ammoniak.</w:t>
            </w:r>
          </w:p>
        </w:tc>
      </w:tr>
    </w:tbl>
    <w:p w:rsidR="00440BAD" w:rsidRPr="00F31D3A" w:rsidRDefault="00440BAD" w:rsidP="00440BAD">
      <w:pPr>
        <w:pStyle w:val="Listenabsatz"/>
        <w:spacing w:after="0" w:line="480" w:lineRule="auto"/>
        <w:ind w:left="644"/>
        <w:rPr>
          <w:color w:val="auto"/>
        </w:rPr>
      </w:pPr>
    </w:p>
    <w:p w:rsidR="00440BAD" w:rsidRDefault="00440BAD" w:rsidP="00440BAD">
      <w:pPr>
        <w:pStyle w:val="Listenabsatz"/>
        <w:numPr>
          <w:ilvl w:val="0"/>
          <w:numId w:val="6"/>
        </w:numPr>
        <w:spacing w:after="0"/>
        <w:ind w:left="709" w:hanging="1004"/>
        <w:rPr>
          <w:b/>
          <w:color w:val="auto"/>
        </w:rPr>
      </w:pPr>
      <w:r>
        <w:rPr>
          <w:b/>
          <w:color w:val="auto"/>
        </w:rPr>
        <w:t>Bei einem Chemieunfall werden 50 kg Ammoniumchlorid freigesetzt. Erkläre warum dies ein Problem darstellt und gib an, wie dieses Problem gelöst werden könnte</w:t>
      </w:r>
    </w:p>
    <w:p w:rsidR="00440BAD" w:rsidRPr="00B15399" w:rsidRDefault="00440BAD" w:rsidP="00440BAD">
      <w:pPr>
        <w:pStyle w:val="Listenabsatz"/>
        <w:spacing w:after="0"/>
        <w:ind w:left="644"/>
        <w:rPr>
          <w:b/>
          <w:color w:val="auto"/>
        </w:rPr>
      </w:pPr>
    </w:p>
    <w:p w:rsidR="00440BAD" w:rsidRDefault="00440BAD" w:rsidP="00440BAD">
      <w:pPr>
        <w:pStyle w:val="Listenabsatz"/>
        <w:spacing w:after="0" w:line="360" w:lineRule="auto"/>
        <w:ind w:left="644"/>
        <w:rPr>
          <w:color w:val="auto"/>
        </w:rPr>
      </w:pPr>
      <w:r>
        <w:rPr>
          <w:color w:val="auto"/>
        </w:rPr>
        <w:t>Ammoniumchlorid reagiert in wässriger Lösung sauer, da es sich bei Ammonium um einen Protonendonator handelt. Der Boden muss vor einer Übersäuerung geschützt werden, dazu kann eine basische Lösung auf das kontaminierte Gebiet gegeben werden. Wird beispielsweise Natriumacetat verwendet, muss folgende Berechnung angestellt werden.</w:t>
      </w:r>
    </w:p>
    <w:p w:rsidR="00440BAD" w:rsidRDefault="00440BAD" w:rsidP="00440BAD">
      <w:pPr>
        <w:pStyle w:val="Listenabsatz"/>
        <w:spacing w:after="0" w:line="360" w:lineRule="auto"/>
        <w:ind w:left="644"/>
        <w:rPr>
          <w:color w:val="auto"/>
        </w:rPr>
      </w:pPr>
      <w:r>
        <w:rPr>
          <w:color w:val="auto"/>
        </w:rPr>
        <w:t>Beispielrechnung:</w:t>
      </w:r>
    </w:p>
    <w:p w:rsidR="00440BAD" w:rsidRPr="00B76EB8" w:rsidRDefault="00440BAD" w:rsidP="00440BAD">
      <w:pPr>
        <w:pStyle w:val="Listenabsatz"/>
        <w:spacing w:after="0" w:line="360" w:lineRule="auto"/>
        <w:ind w:left="644"/>
        <w:rPr>
          <w:rFonts w:eastAsiaTheme="minorEastAsia"/>
          <w:color w:val="auto"/>
        </w:rPr>
      </w:pPr>
      <m:oMathPara>
        <m:oMath>
          <m:r>
            <w:rPr>
              <w:rFonts w:ascii="Cambria Math" w:hAnsi="Cambria Math"/>
              <w:color w:val="auto"/>
            </w:rPr>
            <m:t>n</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r>
            <w:rPr>
              <w:rFonts w:ascii="Cambria Math" w:hAnsi="Cambria Math"/>
              <w:color w:val="auto"/>
            </w:rPr>
            <m:t>=</m:t>
          </m:r>
          <m:f>
            <m:fPr>
              <m:ctrlPr>
                <w:rPr>
                  <w:rFonts w:ascii="Cambria Math" w:hAnsi="Cambria Math"/>
                  <w:i/>
                  <w:color w:val="auto"/>
                </w:rPr>
              </m:ctrlPr>
            </m:fPr>
            <m:num>
              <m:r>
                <w:rPr>
                  <w:rFonts w:ascii="Cambria Math" w:hAnsi="Cambria Math"/>
                  <w:color w:val="auto"/>
                </w:rPr>
                <m:t>m</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num>
            <m:den>
              <m:r>
                <w:rPr>
                  <w:rFonts w:ascii="Cambria Math" w:hAnsi="Cambria Math"/>
                  <w:color w:val="auto"/>
                </w:rPr>
                <m:t>M</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den>
          </m:f>
          <m:r>
            <w:rPr>
              <w:rFonts w:ascii="Cambria Math" w:hAnsi="Cambria Math"/>
              <w:color w:val="auto"/>
            </w:rPr>
            <m:t>=</m:t>
          </m:r>
          <m:f>
            <m:fPr>
              <m:ctrlPr>
                <w:rPr>
                  <w:rFonts w:ascii="Cambria Math" w:hAnsi="Cambria Math"/>
                  <w:i/>
                  <w:color w:val="auto"/>
                </w:rPr>
              </m:ctrlPr>
            </m:fPr>
            <m:num>
              <m:r>
                <w:rPr>
                  <w:rFonts w:ascii="Cambria Math" w:hAnsi="Cambria Math"/>
                  <w:color w:val="auto"/>
                </w:rPr>
                <m:t>50000 g</m:t>
              </m:r>
            </m:num>
            <m:den>
              <m:r>
                <w:rPr>
                  <w:rFonts w:ascii="Cambria Math" w:hAnsi="Cambria Math"/>
                  <w:color w:val="auto"/>
                </w:rPr>
                <m:t>53,49</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den>
          </m:f>
          <m:r>
            <w:rPr>
              <w:rFonts w:ascii="Cambria Math" w:hAnsi="Cambria Math"/>
              <w:color w:val="auto"/>
            </w:rPr>
            <m:t>=934,75 mol</m:t>
          </m:r>
        </m:oMath>
      </m:oMathPara>
    </w:p>
    <w:p w:rsidR="00440BAD" w:rsidRDefault="00440BAD" w:rsidP="00440BAD">
      <w:pPr>
        <w:pStyle w:val="Listenabsatz"/>
        <w:spacing w:after="0" w:line="360" w:lineRule="auto"/>
        <w:ind w:left="644"/>
        <w:rPr>
          <w:color w:val="auto"/>
        </w:rPr>
      </w:pPr>
      <w:r>
        <w:rPr>
          <w:color w:val="auto"/>
        </w:rPr>
        <w:t>Zur Neutralisation gilt</w:t>
      </w:r>
    </w:p>
    <w:p w:rsidR="00440BAD" w:rsidRPr="00F31D3A" w:rsidRDefault="00440BAD" w:rsidP="00440BAD">
      <w:pPr>
        <w:pStyle w:val="Listenabsatz"/>
        <w:spacing w:after="0" w:line="360" w:lineRule="auto"/>
        <w:ind w:left="644"/>
        <w:rPr>
          <w:color w:val="auto"/>
        </w:rPr>
      </w:pPr>
      <m:oMathPara>
        <m:oMath>
          <m:r>
            <w:rPr>
              <w:rFonts w:ascii="Cambria Math" w:hAnsi="Cambria Math"/>
              <w:color w:val="auto"/>
            </w:rPr>
            <m:t>n</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r>
            <w:rPr>
              <w:rFonts w:ascii="Cambria Math" w:hAnsi="Cambria Math"/>
              <w:color w:val="auto"/>
            </w:rPr>
            <m:t>=n(NaAc)</m:t>
          </m:r>
        </m:oMath>
      </m:oMathPara>
    </w:p>
    <w:p w:rsidR="00440BAD" w:rsidRPr="00FF495E" w:rsidRDefault="00440BAD" w:rsidP="00440BAD">
      <w:pPr>
        <w:contextualSpacing/>
        <w:rPr>
          <w:rFonts w:asciiTheme="minorHAnsi" w:eastAsiaTheme="minorEastAsia" w:hAnsiTheme="minorHAnsi"/>
          <w:color w:val="auto"/>
        </w:rPr>
      </w:pPr>
      <w:r w:rsidRPr="00810D5A">
        <w:rPr>
          <w:rFonts w:asciiTheme="minorHAnsi" w:hAnsiTheme="minorHAnsi"/>
          <w:color w:val="auto"/>
        </w:rPr>
        <w:t>.</w:t>
      </w:r>
      <m:oMath>
        <m:r>
          <m:rPr>
            <m:sty m:val="p"/>
          </m:rPr>
          <w:rPr>
            <w:rFonts w:ascii="Cambria Math" w:hAnsi="Cambria Math"/>
            <w:color w:val="auto"/>
          </w:rPr>
          <w:br/>
        </m:r>
      </m:oMath>
      <m:oMathPara>
        <m:oMath>
          <m:r>
            <w:rPr>
              <w:rFonts w:ascii="Cambria Math" w:hAnsi="Cambria Math"/>
              <w:color w:val="auto"/>
            </w:rPr>
            <m:t>m</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=n</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∙M</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 xml:space="preserve">=934,75 mol∙82,03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r>
            <w:rPr>
              <w:rFonts w:ascii="Cambria Math" w:hAnsi="Cambria Math"/>
              <w:color w:val="auto"/>
            </w:rPr>
            <m:t>=76,677 kg</m:t>
          </m:r>
        </m:oMath>
      </m:oMathPara>
    </w:p>
    <w:p w:rsidR="00440BAD" w:rsidRPr="00810D5A" w:rsidRDefault="00440BAD" w:rsidP="00440BAD">
      <w:pPr>
        <w:contextualSpacing/>
        <w:rPr>
          <w:rFonts w:asciiTheme="minorHAnsi" w:hAnsiTheme="minorHAnsi"/>
          <w:color w:val="auto"/>
        </w:rPr>
      </w:pPr>
      <w:r>
        <w:rPr>
          <w:rFonts w:asciiTheme="minorHAnsi" w:eastAsiaTheme="minorEastAsia" w:hAnsiTheme="minorHAnsi"/>
          <w:color w:val="auto"/>
        </w:rPr>
        <w:t>Für eine Neutralisation müssten 76,677 kg Natriumacetat ausgestreut werden.</w:t>
      </w:r>
      <w:bookmarkStart w:id="3" w:name="_GoBack"/>
      <w:bookmarkEnd w:id="3"/>
    </w:p>
    <w:sectPr w:rsidR="00440BAD" w:rsidRPr="00810D5A">
      <w:footerReference w:type="default" r:id="rId6"/>
      <w:footerReference w:type="first" r:id="rI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440BAD">
        <w:pPr>
          <w:pStyle w:val="Fuzeile"/>
          <w:jc w:val="center"/>
        </w:pPr>
        <w:r>
          <w:fldChar w:fldCharType="begin"/>
        </w:r>
        <w:r>
          <w:instrText>PAGE   \* MERGEFORMAT</w:instrText>
        </w:r>
        <w:r>
          <w:fldChar w:fldCharType="separate"/>
        </w:r>
        <w:r>
          <w:rPr>
            <w:noProof/>
          </w:rPr>
          <w:t>2</w:t>
        </w:r>
        <w:r>
          <w:fldChar w:fldCharType="end"/>
        </w:r>
      </w:p>
    </w:sdtContent>
  </w:sdt>
  <w:p w:rsidR="0099183C" w:rsidRDefault="00440B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440BAD">
    <w:pPr>
      <w:pStyle w:val="Fuzeile"/>
      <w:jc w:val="center"/>
    </w:pPr>
  </w:p>
  <w:p w:rsidR="0099183C" w:rsidRDefault="00440BAD">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Content>
      <w:p w:rsidR="00440BAD" w:rsidRPr="00337B69" w:rsidRDefault="00440BAD"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B10FC4"/>
    <w:multiLevelType w:val="hybridMultilevel"/>
    <w:tmpl w:val="6CEC2DA4"/>
    <w:lvl w:ilvl="0" w:tplc="75887BA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4D3E10CA"/>
    <w:multiLevelType w:val="hybridMultilevel"/>
    <w:tmpl w:val="41026C18"/>
    <w:lvl w:ilvl="0" w:tplc="BCD6D3E2">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518C"/>
    <w:rsid w:val="001C7E4D"/>
    <w:rsid w:val="00240CE2"/>
    <w:rsid w:val="003143CC"/>
    <w:rsid w:val="0037579F"/>
    <w:rsid w:val="003B6E8D"/>
    <w:rsid w:val="003D42D3"/>
    <w:rsid w:val="003D4C1B"/>
    <w:rsid w:val="00440BAD"/>
    <w:rsid w:val="005D72E7"/>
    <w:rsid w:val="00611594"/>
    <w:rsid w:val="007D4813"/>
    <w:rsid w:val="008C17A8"/>
    <w:rsid w:val="008F5648"/>
    <w:rsid w:val="00980F3F"/>
    <w:rsid w:val="00A3064F"/>
    <w:rsid w:val="00C20C1B"/>
    <w:rsid w:val="00C443B4"/>
    <w:rsid w:val="00C563E6"/>
    <w:rsid w:val="00D73F5D"/>
    <w:rsid w:val="00E4511E"/>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 w:type="table" w:styleId="Tabellenraster">
    <w:name w:val="Table Grid"/>
    <w:basedOn w:val="NormaleTabelle"/>
    <w:uiPriority w:val="59"/>
    <w:rsid w:val="008C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2016-08-09T06:56:00Z</dcterms:created>
  <dcterms:modified xsi:type="dcterms:W3CDTF">2016-08-09T06:56:00Z</dcterms:modified>
</cp:coreProperties>
</file>