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4F" w:rsidRPr="00CC307A" w:rsidRDefault="007C794F" w:rsidP="007C794F">
      <w:pPr>
        <w:pStyle w:val="berschrift2"/>
        <w:numPr>
          <w:ilvl w:val="0"/>
          <w:numId w:val="0"/>
        </w:numPr>
        <w:rPr>
          <w:color w:val="auto"/>
        </w:rPr>
      </w:pPr>
      <w:bookmarkStart w:id="0" w:name="_Toc457873017"/>
      <w:r>
        <w:rPr>
          <w:noProof/>
          <w:lang w:eastAsia="de-DE"/>
        </w:rPr>
        <mc:AlternateContent>
          <mc:Choice Requires="wps">
            <w:drawing>
              <wp:anchor distT="0" distB="0" distL="114300" distR="114300" simplePos="0" relativeHeight="251659264" behindDoc="0" locked="0" layoutInCell="1" allowOverlap="1" wp14:anchorId="71D36F12" wp14:editId="5758FA5A">
                <wp:simplePos x="0" y="0"/>
                <wp:positionH relativeFrom="column">
                  <wp:posOffset>-61595</wp:posOffset>
                </wp:positionH>
                <wp:positionV relativeFrom="paragraph">
                  <wp:posOffset>451485</wp:posOffset>
                </wp:positionV>
                <wp:extent cx="5873115" cy="2247900"/>
                <wp:effectExtent l="0" t="0" r="13335" b="19050"/>
                <wp:wrapSquare wrapText="bothSides"/>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479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794F" w:rsidRDefault="007C794F" w:rsidP="007C794F">
                            <w:pPr>
                              <w:spacing w:after="0"/>
                              <w:rPr>
                                <w:color w:val="auto"/>
                              </w:rPr>
                            </w:pPr>
                            <w:r>
                              <w:rPr>
                                <w:color w:val="auto"/>
                              </w:rPr>
                              <w:t>In diesem Versuch wird die Ionenbeweglichkeit in Lösungen am Phänomen der Farbänderung von durch Membranen getrennter Lösungen thematisiert. Durch eine angelegte Gleichspannung diffundieren Anionen und Kationen in Richtung der entgegengesetzt geladenen Elektroden durch die Fritten eines Doppel-U-Rohres.</w:t>
                            </w:r>
                          </w:p>
                          <w:p w:rsidR="007C794F" w:rsidRPr="00F31EBF" w:rsidRDefault="007C794F" w:rsidP="007C794F">
                            <w:pPr>
                              <w:rPr>
                                <w:color w:val="auto"/>
                              </w:rPr>
                            </w:pPr>
                            <w:r>
                              <w:rPr>
                                <w:color w:val="auto"/>
                              </w:rPr>
                              <w:t>Der Versuch ist als Lehrerversuch eingeordnet, da Kupfer(II)-hydroxid ausfällt und konzentrierte Ammoniaklösung eingesetzt wird. Die Schülerinnen und Schüler benötigen für die Auswertung Vorwissen über die Ionenbildung von Salzen in Lösungen, Anziehung und Abstoßung von Teilchen mit unterschiedlichen Ladungen. Die vorliegenden Komplexreaktionen der Kupferionen mit Ammoniaklösung sollte didaktisch reduziert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36F12" id="_x0000_t202" coordsize="21600,21600" o:spt="202" path="m,l,21600r21600,l21600,xe">
                <v:stroke joinstyle="miter"/>
                <v:path gradientshapeok="t" o:connecttype="rect"/>
              </v:shapetype>
              <v:shape id="Text Box 60" o:spid="_x0000_s1026" type="#_x0000_t202" style="position:absolute;left:0;text-align:left;margin-left:-4.85pt;margin-top:35.55pt;width:462.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PI7QIAACw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" fillcolor="white [3201]" strokecolor="#4472c4 [3208]" strokeweight="1pt">
                <v:stroke dashstyle="dash"/>
                <v:shadow color="#868686"/>
                <v:textbox>
                  <w:txbxContent>
                    <w:p w:rsidR="007C794F" w:rsidRDefault="007C794F" w:rsidP="007C794F">
                      <w:pPr>
                        <w:spacing w:after="0"/>
                        <w:rPr>
                          <w:color w:val="auto"/>
                        </w:rPr>
                      </w:pPr>
                      <w:r>
                        <w:rPr>
                          <w:color w:val="auto"/>
                        </w:rPr>
                        <w:t>In diesem Versuch wird die Ionenbeweglichkeit in Lösungen am Phänomen der Farbänderung von durch Membranen getrennter Lösungen thematisiert. Durch eine angelegte Gleichspannung diffundieren Anionen und Kationen in Richtung der entgegengesetzt geladenen Elektroden durch die Fritten eines Doppel-U-Rohres.</w:t>
                      </w:r>
                    </w:p>
                    <w:p w:rsidR="007C794F" w:rsidRPr="00F31EBF" w:rsidRDefault="007C794F" w:rsidP="007C794F">
                      <w:pPr>
                        <w:rPr>
                          <w:color w:val="auto"/>
                        </w:rPr>
                      </w:pPr>
                      <w:r>
                        <w:rPr>
                          <w:color w:val="auto"/>
                        </w:rPr>
                        <w:t>Der Versuch ist als Lehrerversuch eingeordnet, da Kupfer(II)-hydroxid ausfällt und konzentrierte Ammoniaklösung eingesetzt wird. Die Schülerinnen und Schüler benötigen für die Auswertung Vorwissen über die Ionenbildung von Salzen in Lösungen, Anziehung und Abstoßung von Teilchen mit unterschiedlichen Ladungen. Die vorliegenden Komplexreaktionen der Kupferionen mit Ammoniaklösung sollte didaktisch reduziert werden.</w:t>
                      </w:r>
                    </w:p>
                  </w:txbxContent>
                </v:textbox>
                <w10:wrap type="square"/>
              </v:shape>
            </w:pict>
          </mc:Fallback>
        </mc:AlternateContent>
      </w:r>
      <w:r w:rsidRPr="00CC307A">
        <w:rPr>
          <w:color w:val="auto"/>
        </w:rPr>
        <w:t xml:space="preserve">V1 – </w:t>
      </w:r>
      <w:r>
        <w:rPr>
          <w:color w:val="auto"/>
        </w:rPr>
        <w:t>Ionenb</w:t>
      </w:r>
      <w:bookmarkStart w:id="1" w:name="_GoBack"/>
      <w:bookmarkEnd w:id="1"/>
      <w:r>
        <w:rPr>
          <w:color w:val="auto"/>
        </w:rPr>
        <w:t>eweglichkeit</w:t>
      </w:r>
      <w:bookmarkEnd w:id="0"/>
    </w:p>
    <w:p w:rsidR="007C794F" w:rsidRDefault="007C794F" w:rsidP="007C794F"/>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C794F" w:rsidRPr="009C5E28" w:rsidTr="00586BCE">
        <w:tc>
          <w:tcPr>
            <w:tcW w:w="9322" w:type="dxa"/>
            <w:gridSpan w:val="9"/>
            <w:shd w:val="clear" w:color="auto" w:fill="4F81BD"/>
            <w:vAlign w:val="center"/>
          </w:tcPr>
          <w:p w:rsidR="007C794F" w:rsidRPr="00F31EBF" w:rsidRDefault="007C794F" w:rsidP="00586BCE">
            <w:pPr>
              <w:spacing w:after="0"/>
              <w:jc w:val="center"/>
              <w:rPr>
                <w:b/>
                <w:bCs/>
                <w:color w:val="FFFFFF" w:themeColor="background1"/>
              </w:rPr>
            </w:pPr>
            <w:bookmarkStart w:id="2" w:name="_Toc425776595"/>
            <w:bookmarkStart w:id="3" w:name="_Toc456688591"/>
            <w:bookmarkStart w:id="4" w:name="_Toc456688607"/>
            <w:bookmarkEnd w:id="2"/>
            <w:bookmarkEnd w:id="3"/>
            <w:bookmarkEnd w:id="4"/>
            <w:r w:rsidRPr="00F31EBF">
              <w:rPr>
                <w:b/>
                <w:bCs/>
                <w:color w:val="FFFFFF" w:themeColor="background1"/>
              </w:rPr>
              <w:t>Gefahrenstoffe</w:t>
            </w:r>
          </w:p>
        </w:tc>
      </w:tr>
      <w:tr w:rsidR="007C794F" w:rsidRPr="009C5E28" w:rsidTr="00586BCE">
        <w:trPr>
          <w:trHeight w:val="437"/>
        </w:trPr>
        <w:tc>
          <w:tcPr>
            <w:tcW w:w="3027" w:type="dxa"/>
            <w:gridSpan w:val="3"/>
            <w:shd w:val="clear" w:color="auto" w:fill="auto"/>
            <w:vAlign w:val="center"/>
          </w:tcPr>
          <w:p w:rsidR="007C794F" w:rsidRPr="009C5E28" w:rsidRDefault="007C794F" w:rsidP="00586BCE">
            <w:pPr>
              <w:spacing w:after="0" w:line="276" w:lineRule="auto"/>
              <w:jc w:val="center"/>
              <w:rPr>
                <w:b/>
                <w:bCs/>
              </w:rPr>
            </w:pPr>
            <w:r>
              <w:rPr>
                <w:sz w:val="20"/>
              </w:rPr>
              <w:t>Kaliumnitrat</w:t>
            </w:r>
          </w:p>
        </w:tc>
        <w:tc>
          <w:tcPr>
            <w:tcW w:w="3177" w:type="dxa"/>
            <w:gridSpan w:val="3"/>
            <w:shd w:val="clear" w:color="auto" w:fill="auto"/>
            <w:vAlign w:val="center"/>
          </w:tcPr>
          <w:p w:rsidR="007C794F" w:rsidRPr="009C5E28" w:rsidRDefault="007C794F" w:rsidP="00586BCE">
            <w:pPr>
              <w:spacing w:after="0"/>
              <w:jc w:val="center"/>
            </w:pPr>
            <w:r w:rsidRPr="009C5E28">
              <w:rPr>
                <w:sz w:val="20"/>
              </w:rPr>
              <w:t xml:space="preserve">H: </w:t>
            </w:r>
            <w:r w:rsidRPr="00991969">
              <w:rPr>
                <w:sz w:val="20"/>
              </w:rPr>
              <w:t>272</w:t>
            </w:r>
          </w:p>
        </w:tc>
        <w:tc>
          <w:tcPr>
            <w:tcW w:w="3118" w:type="dxa"/>
            <w:gridSpan w:val="3"/>
            <w:shd w:val="clear" w:color="auto" w:fill="auto"/>
            <w:vAlign w:val="center"/>
          </w:tcPr>
          <w:p w:rsidR="007C794F" w:rsidRPr="009C5E28" w:rsidRDefault="007C794F" w:rsidP="00586BCE">
            <w:pPr>
              <w:spacing w:after="0"/>
              <w:jc w:val="center"/>
            </w:pPr>
            <w:r w:rsidRPr="009C5E28">
              <w:rPr>
                <w:sz w:val="20"/>
              </w:rPr>
              <w:t xml:space="preserve">P: </w:t>
            </w:r>
            <w:r>
              <w:rPr>
                <w:sz w:val="20"/>
              </w:rPr>
              <w:t>210-221</w:t>
            </w:r>
          </w:p>
        </w:tc>
      </w:tr>
      <w:tr w:rsidR="007C794F" w:rsidRPr="009C5E28" w:rsidTr="00586BCE">
        <w:trPr>
          <w:trHeight w:val="434"/>
        </w:trPr>
        <w:tc>
          <w:tcPr>
            <w:tcW w:w="3027" w:type="dxa"/>
            <w:gridSpan w:val="3"/>
            <w:shd w:val="clear" w:color="auto" w:fill="auto"/>
            <w:vAlign w:val="center"/>
          </w:tcPr>
          <w:p w:rsidR="007C794F" w:rsidRPr="009C5E28" w:rsidRDefault="007C794F" w:rsidP="00586BCE">
            <w:pPr>
              <w:spacing w:after="0" w:line="276" w:lineRule="auto"/>
              <w:jc w:val="center"/>
              <w:rPr>
                <w:bCs/>
                <w:sz w:val="20"/>
              </w:rPr>
            </w:pPr>
            <w:r>
              <w:rPr>
                <w:color w:val="auto"/>
                <w:sz w:val="20"/>
                <w:szCs w:val="20"/>
              </w:rPr>
              <w:t>Kaliumpermanganat</w:t>
            </w:r>
          </w:p>
        </w:tc>
        <w:tc>
          <w:tcPr>
            <w:tcW w:w="3177" w:type="dxa"/>
            <w:gridSpan w:val="3"/>
            <w:shd w:val="clear" w:color="auto" w:fill="auto"/>
            <w:vAlign w:val="center"/>
          </w:tcPr>
          <w:p w:rsidR="007C794F" w:rsidRPr="009C5E28" w:rsidRDefault="007C794F" w:rsidP="00586BCE">
            <w:pPr>
              <w:pStyle w:val="Beschriftung"/>
              <w:spacing w:after="0"/>
              <w:rPr>
                <w:sz w:val="20"/>
              </w:rPr>
            </w:pPr>
            <w:r w:rsidRPr="009C5E28">
              <w:rPr>
                <w:sz w:val="20"/>
              </w:rPr>
              <w:t xml:space="preserve">H: </w:t>
            </w:r>
            <w:r>
              <w:rPr>
                <w:sz w:val="20"/>
              </w:rPr>
              <w:t>227-302-314-410</w:t>
            </w:r>
          </w:p>
        </w:tc>
        <w:tc>
          <w:tcPr>
            <w:tcW w:w="3118" w:type="dxa"/>
            <w:gridSpan w:val="3"/>
            <w:shd w:val="clear" w:color="auto" w:fill="auto"/>
            <w:vAlign w:val="center"/>
          </w:tcPr>
          <w:p w:rsidR="007C794F" w:rsidRPr="009C5E28" w:rsidRDefault="007C794F" w:rsidP="00586BCE">
            <w:pPr>
              <w:pStyle w:val="Beschriftung"/>
              <w:spacing w:after="0"/>
              <w:rPr>
                <w:sz w:val="20"/>
              </w:rPr>
            </w:pPr>
            <w:r w:rsidRPr="009C5E28">
              <w:rPr>
                <w:sz w:val="20"/>
              </w:rPr>
              <w:t xml:space="preserve">P: </w:t>
            </w:r>
            <w:r>
              <w:rPr>
                <w:sz w:val="20"/>
              </w:rPr>
              <w:t>220-273-280-305+351+338-310-501.1</w:t>
            </w:r>
          </w:p>
        </w:tc>
      </w:tr>
      <w:tr w:rsidR="007C794F" w:rsidRPr="009C5E28" w:rsidTr="00586BCE">
        <w:trPr>
          <w:trHeight w:val="434"/>
        </w:trPr>
        <w:tc>
          <w:tcPr>
            <w:tcW w:w="3027" w:type="dxa"/>
            <w:gridSpan w:val="3"/>
            <w:shd w:val="clear" w:color="auto" w:fill="auto"/>
            <w:vAlign w:val="center"/>
          </w:tcPr>
          <w:p w:rsidR="007C794F" w:rsidRDefault="007C794F" w:rsidP="00586BCE">
            <w:pPr>
              <w:spacing w:after="0" w:line="276" w:lineRule="auto"/>
              <w:jc w:val="center"/>
              <w:rPr>
                <w:color w:val="auto"/>
                <w:sz w:val="20"/>
                <w:szCs w:val="20"/>
              </w:rPr>
            </w:pPr>
            <w:r>
              <w:rPr>
                <w:color w:val="auto"/>
                <w:sz w:val="20"/>
                <w:szCs w:val="20"/>
              </w:rPr>
              <w:t>Kupfersulfat</w:t>
            </w:r>
          </w:p>
        </w:tc>
        <w:tc>
          <w:tcPr>
            <w:tcW w:w="3177" w:type="dxa"/>
            <w:gridSpan w:val="3"/>
            <w:shd w:val="clear" w:color="auto" w:fill="auto"/>
            <w:vAlign w:val="center"/>
          </w:tcPr>
          <w:p w:rsidR="007C794F" w:rsidRPr="009C5E28" w:rsidRDefault="007C794F" w:rsidP="00586BCE">
            <w:pPr>
              <w:pStyle w:val="Beschriftung"/>
              <w:spacing w:after="0"/>
              <w:rPr>
                <w:sz w:val="20"/>
              </w:rPr>
            </w:pPr>
            <w:r>
              <w:rPr>
                <w:sz w:val="20"/>
              </w:rPr>
              <w:t>H: 302-315-319-410</w:t>
            </w:r>
          </w:p>
        </w:tc>
        <w:tc>
          <w:tcPr>
            <w:tcW w:w="3118" w:type="dxa"/>
            <w:gridSpan w:val="3"/>
            <w:shd w:val="clear" w:color="auto" w:fill="auto"/>
            <w:vAlign w:val="center"/>
          </w:tcPr>
          <w:p w:rsidR="007C794F" w:rsidRPr="009C5E28" w:rsidRDefault="007C794F" w:rsidP="00586BCE">
            <w:pPr>
              <w:pStyle w:val="Beschriftung"/>
              <w:spacing w:after="0"/>
              <w:rPr>
                <w:sz w:val="20"/>
              </w:rPr>
            </w:pPr>
            <w:r>
              <w:rPr>
                <w:sz w:val="20"/>
              </w:rPr>
              <w:t>P: 273-305+351+338-302+352</w:t>
            </w:r>
          </w:p>
        </w:tc>
      </w:tr>
      <w:tr w:rsidR="007C794F" w:rsidRPr="009C5E28" w:rsidTr="00586BCE">
        <w:trPr>
          <w:trHeight w:val="434"/>
        </w:trPr>
        <w:tc>
          <w:tcPr>
            <w:tcW w:w="3027" w:type="dxa"/>
            <w:gridSpan w:val="3"/>
            <w:shd w:val="clear" w:color="auto" w:fill="auto"/>
            <w:vAlign w:val="center"/>
          </w:tcPr>
          <w:p w:rsidR="007C794F" w:rsidRDefault="007C794F" w:rsidP="00586BCE">
            <w:pPr>
              <w:spacing w:after="0" w:line="276" w:lineRule="auto"/>
              <w:jc w:val="center"/>
              <w:rPr>
                <w:sz w:val="20"/>
              </w:rPr>
            </w:pPr>
            <w:r>
              <w:rPr>
                <w:sz w:val="20"/>
              </w:rPr>
              <w:t xml:space="preserve">Ammoniaklösung </w:t>
            </w:r>
          </w:p>
          <w:p w:rsidR="007C794F" w:rsidRDefault="007C794F" w:rsidP="00586BCE">
            <w:pPr>
              <w:spacing w:after="0" w:line="276" w:lineRule="auto"/>
              <w:jc w:val="center"/>
              <w:rPr>
                <w:color w:val="auto"/>
                <w:sz w:val="20"/>
                <w:szCs w:val="20"/>
              </w:rPr>
            </w:pPr>
            <w:r>
              <w:rPr>
                <w:sz w:val="20"/>
              </w:rPr>
              <w:t>(konz., w = 25%)</w:t>
            </w:r>
          </w:p>
        </w:tc>
        <w:tc>
          <w:tcPr>
            <w:tcW w:w="3177" w:type="dxa"/>
            <w:gridSpan w:val="3"/>
            <w:shd w:val="clear" w:color="auto" w:fill="auto"/>
            <w:vAlign w:val="center"/>
          </w:tcPr>
          <w:p w:rsidR="007C794F" w:rsidRDefault="007C794F" w:rsidP="00586BCE">
            <w:pPr>
              <w:pStyle w:val="Beschriftung"/>
              <w:spacing w:after="0"/>
              <w:rPr>
                <w:sz w:val="20"/>
              </w:rPr>
            </w:pPr>
            <w:r w:rsidRPr="009C5E28">
              <w:rPr>
                <w:sz w:val="20"/>
              </w:rPr>
              <w:t xml:space="preserve">H: </w:t>
            </w:r>
            <w:hyperlink r:id="rId7" w:anchor="H-S.C3.A4tze" w:tooltip="H- und P-Sätze" w:history="1">
              <w:r>
                <w:rPr>
                  <w:rStyle w:val="Hyperlink"/>
                  <w:sz w:val="20"/>
                </w:rPr>
                <w:t>3</w:t>
              </w:r>
            </w:hyperlink>
            <w:hyperlink r:id="rId8" w:anchor="H-S.C3.A4tze" w:tooltip="H- und P-Sätze" w:history="1">
              <w:r w:rsidRPr="009C5E28">
                <w:rPr>
                  <w:rStyle w:val="Hyperlink"/>
                  <w:sz w:val="20"/>
                </w:rPr>
                <w:t>02</w:t>
              </w:r>
            </w:hyperlink>
            <w:r w:rsidRPr="009C5E28">
              <w:rPr>
                <w:sz w:val="20"/>
              </w:rPr>
              <w:t>-</w:t>
            </w:r>
            <w:hyperlink r:id="rId9" w:anchor="H-S.C3.A4tze" w:tooltip="H- und P-Sätze" w:history="1">
              <w:r w:rsidRPr="009C5E28">
                <w:rPr>
                  <w:rStyle w:val="Hyperlink"/>
                  <w:sz w:val="20"/>
                </w:rPr>
                <w:t>314</w:t>
              </w:r>
            </w:hyperlink>
            <w:r>
              <w:rPr>
                <w:rStyle w:val="Hyperlink"/>
                <w:sz w:val="20"/>
              </w:rPr>
              <w:t>-335-400</w:t>
            </w:r>
          </w:p>
        </w:tc>
        <w:tc>
          <w:tcPr>
            <w:tcW w:w="3118" w:type="dxa"/>
            <w:gridSpan w:val="3"/>
            <w:shd w:val="clear" w:color="auto" w:fill="auto"/>
            <w:vAlign w:val="center"/>
          </w:tcPr>
          <w:p w:rsidR="007C794F" w:rsidRDefault="007C794F" w:rsidP="00586BCE">
            <w:pPr>
              <w:pStyle w:val="Beschriftung"/>
              <w:spacing w:after="0"/>
              <w:rPr>
                <w:sz w:val="20"/>
              </w:rPr>
            </w:pPr>
            <w:r w:rsidRPr="009C5E28">
              <w:rPr>
                <w:sz w:val="20"/>
              </w:rPr>
              <w:t xml:space="preserve">P: </w:t>
            </w:r>
            <w:r>
              <w:rPr>
                <w:sz w:val="20"/>
              </w:rPr>
              <w:t>273-</w:t>
            </w:r>
            <w:hyperlink r:id="rId10" w:anchor="P-S.C3.A4tze" w:tooltip="H- und P-Sätze" w:history="1">
              <w:r w:rsidRPr="009C5E28">
                <w:rPr>
                  <w:rStyle w:val="Hyperlink"/>
                  <w:sz w:val="20"/>
                </w:rPr>
                <w:t>280</w:t>
              </w:r>
            </w:hyperlink>
            <w:r w:rsidRPr="009C5E28">
              <w:rPr>
                <w:sz w:val="20"/>
              </w:rPr>
              <w:t>-</w:t>
            </w:r>
            <w:hyperlink r:id="rId11" w:anchor="P-S.C3.A4tze" w:tooltip="H- und P-Sätze" w:history="1">
              <w:r w:rsidRPr="009C5E28">
                <w:rPr>
                  <w:rStyle w:val="Hyperlink"/>
                  <w:sz w:val="20"/>
                </w:rPr>
                <w:t>301+330+331</w:t>
              </w:r>
            </w:hyperlink>
            <w:r>
              <w:rPr>
                <w:rStyle w:val="Hyperlink"/>
                <w:sz w:val="20"/>
              </w:rPr>
              <w:t>-304+340-305+351+338-309+310</w:t>
            </w:r>
          </w:p>
        </w:tc>
      </w:tr>
      <w:tr w:rsidR="007C794F" w:rsidRPr="009C5E28" w:rsidTr="00586BCE">
        <w:trPr>
          <w:trHeight w:val="434"/>
        </w:trPr>
        <w:tc>
          <w:tcPr>
            <w:tcW w:w="3027" w:type="dxa"/>
            <w:gridSpan w:val="3"/>
            <w:shd w:val="clear" w:color="auto" w:fill="auto"/>
            <w:vAlign w:val="center"/>
          </w:tcPr>
          <w:p w:rsidR="007C794F" w:rsidRDefault="007C794F" w:rsidP="00586BCE">
            <w:pPr>
              <w:spacing w:after="0" w:line="276" w:lineRule="auto"/>
              <w:jc w:val="center"/>
              <w:rPr>
                <w:color w:val="auto"/>
                <w:sz w:val="20"/>
                <w:szCs w:val="20"/>
              </w:rPr>
            </w:pPr>
            <w:r>
              <w:rPr>
                <w:color w:val="auto"/>
                <w:sz w:val="20"/>
                <w:szCs w:val="20"/>
              </w:rPr>
              <w:t>demin. Wasser</w:t>
            </w:r>
          </w:p>
        </w:tc>
        <w:tc>
          <w:tcPr>
            <w:tcW w:w="3177" w:type="dxa"/>
            <w:gridSpan w:val="3"/>
            <w:shd w:val="clear" w:color="auto" w:fill="auto"/>
            <w:vAlign w:val="center"/>
          </w:tcPr>
          <w:p w:rsidR="007C794F" w:rsidRDefault="007C794F" w:rsidP="00586BCE">
            <w:pPr>
              <w:pStyle w:val="Beschriftung"/>
              <w:spacing w:after="0"/>
              <w:rPr>
                <w:sz w:val="20"/>
              </w:rPr>
            </w:pPr>
            <w:r>
              <w:rPr>
                <w:sz w:val="20"/>
              </w:rPr>
              <w:t>H: -</w:t>
            </w:r>
          </w:p>
        </w:tc>
        <w:tc>
          <w:tcPr>
            <w:tcW w:w="3118" w:type="dxa"/>
            <w:gridSpan w:val="3"/>
            <w:shd w:val="clear" w:color="auto" w:fill="auto"/>
            <w:vAlign w:val="center"/>
          </w:tcPr>
          <w:p w:rsidR="007C794F" w:rsidRDefault="007C794F" w:rsidP="00586BCE">
            <w:pPr>
              <w:pStyle w:val="Beschriftung"/>
              <w:spacing w:after="0"/>
              <w:rPr>
                <w:sz w:val="20"/>
              </w:rPr>
            </w:pPr>
            <w:r>
              <w:rPr>
                <w:sz w:val="20"/>
              </w:rPr>
              <w:t>P: -</w:t>
            </w:r>
          </w:p>
        </w:tc>
      </w:tr>
      <w:tr w:rsidR="007C794F" w:rsidRPr="009C5E28" w:rsidTr="00586BCE">
        <w:trPr>
          <w:trHeight w:val="434"/>
        </w:trPr>
        <w:tc>
          <w:tcPr>
            <w:tcW w:w="3027" w:type="dxa"/>
            <w:gridSpan w:val="3"/>
            <w:shd w:val="clear" w:color="auto" w:fill="auto"/>
            <w:vAlign w:val="center"/>
          </w:tcPr>
          <w:p w:rsidR="007C794F" w:rsidRDefault="007C794F" w:rsidP="00586BCE">
            <w:pPr>
              <w:spacing w:after="0" w:line="276" w:lineRule="auto"/>
              <w:jc w:val="center"/>
              <w:rPr>
                <w:color w:val="auto"/>
                <w:sz w:val="20"/>
                <w:szCs w:val="20"/>
              </w:rPr>
            </w:pPr>
            <w:r>
              <w:rPr>
                <w:color w:val="auto"/>
                <w:sz w:val="20"/>
                <w:szCs w:val="20"/>
              </w:rPr>
              <w:t>Mangan(IV)-oxid</w:t>
            </w:r>
          </w:p>
        </w:tc>
        <w:tc>
          <w:tcPr>
            <w:tcW w:w="3177" w:type="dxa"/>
            <w:gridSpan w:val="3"/>
            <w:shd w:val="clear" w:color="auto" w:fill="auto"/>
            <w:vAlign w:val="center"/>
          </w:tcPr>
          <w:p w:rsidR="007C794F" w:rsidRDefault="007C794F" w:rsidP="00586BCE">
            <w:pPr>
              <w:pStyle w:val="Beschriftung"/>
              <w:spacing w:after="0"/>
              <w:rPr>
                <w:sz w:val="20"/>
              </w:rPr>
            </w:pPr>
            <w:r>
              <w:rPr>
                <w:sz w:val="20"/>
              </w:rPr>
              <w:t>H: 272-302+332</w:t>
            </w:r>
          </w:p>
        </w:tc>
        <w:tc>
          <w:tcPr>
            <w:tcW w:w="3118" w:type="dxa"/>
            <w:gridSpan w:val="3"/>
            <w:shd w:val="clear" w:color="auto" w:fill="auto"/>
            <w:vAlign w:val="center"/>
          </w:tcPr>
          <w:p w:rsidR="007C794F" w:rsidRDefault="007C794F" w:rsidP="00586BCE">
            <w:pPr>
              <w:pStyle w:val="Beschriftung"/>
              <w:spacing w:after="0"/>
              <w:rPr>
                <w:sz w:val="20"/>
              </w:rPr>
            </w:pPr>
            <w:r>
              <w:rPr>
                <w:sz w:val="20"/>
              </w:rPr>
              <w:t>P: 221</w:t>
            </w:r>
          </w:p>
        </w:tc>
      </w:tr>
      <w:tr w:rsidR="007C794F" w:rsidRPr="009C5E28" w:rsidTr="00586BCE">
        <w:trPr>
          <w:trHeight w:val="434"/>
        </w:trPr>
        <w:tc>
          <w:tcPr>
            <w:tcW w:w="3027" w:type="dxa"/>
            <w:gridSpan w:val="3"/>
            <w:shd w:val="clear" w:color="auto" w:fill="auto"/>
            <w:vAlign w:val="center"/>
          </w:tcPr>
          <w:p w:rsidR="007C794F" w:rsidRDefault="007C794F" w:rsidP="00586BCE">
            <w:pPr>
              <w:spacing w:after="0" w:line="276" w:lineRule="auto"/>
              <w:jc w:val="center"/>
              <w:rPr>
                <w:color w:val="auto"/>
                <w:sz w:val="20"/>
                <w:szCs w:val="20"/>
              </w:rPr>
            </w:pPr>
            <w:r>
              <w:rPr>
                <w:color w:val="auto"/>
                <w:sz w:val="20"/>
                <w:szCs w:val="20"/>
              </w:rPr>
              <w:t>Kupfer(II)-hydroxid</w:t>
            </w:r>
          </w:p>
        </w:tc>
        <w:tc>
          <w:tcPr>
            <w:tcW w:w="3177" w:type="dxa"/>
            <w:gridSpan w:val="3"/>
            <w:shd w:val="clear" w:color="auto" w:fill="auto"/>
            <w:vAlign w:val="center"/>
          </w:tcPr>
          <w:p w:rsidR="007C794F" w:rsidRDefault="007C794F" w:rsidP="00586BCE">
            <w:pPr>
              <w:pStyle w:val="Beschriftung"/>
              <w:spacing w:after="0"/>
              <w:rPr>
                <w:sz w:val="20"/>
              </w:rPr>
            </w:pPr>
            <w:r>
              <w:rPr>
                <w:sz w:val="20"/>
              </w:rPr>
              <w:t>H: 302-330-318-400-411</w:t>
            </w:r>
          </w:p>
        </w:tc>
        <w:tc>
          <w:tcPr>
            <w:tcW w:w="3118" w:type="dxa"/>
            <w:gridSpan w:val="3"/>
            <w:shd w:val="clear" w:color="auto" w:fill="auto"/>
            <w:vAlign w:val="center"/>
          </w:tcPr>
          <w:p w:rsidR="007C794F" w:rsidRDefault="007C794F" w:rsidP="00586BCE">
            <w:pPr>
              <w:pStyle w:val="Beschriftung"/>
              <w:spacing w:after="0"/>
              <w:rPr>
                <w:sz w:val="20"/>
              </w:rPr>
            </w:pPr>
            <w:r>
              <w:rPr>
                <w:sz w:val="20"/>
              </w:rPr>
              <w:t>P: 260-273-280-284-305+351+338-310</w:t>
            </w:r>
          </w:p>
        </w:tc>
      </w:tr>
      <w:tr w:rsidR="007C794F" w:rsidRPr="009C5E28" w:rsidTr="00586BCE">
        <w:tc>
          <w:tcPr>
            <w:tcW w:w="1009" w:type="dxa"/>
            <w:shd w:val="clear" w:color="auto" w:fill="auto"/>
            <w:vAlign w:val="center"/>
          </w:tcPr>
          <w:p w:rsidR="007C794F" w:rsidRPr="009C5E28" w:rsidRDefault="007C794F" w:rsidP="00586BCE">
            <w:pPr>
              <w:spacing w:after="0"/>
              <w:jc w:val="center"/>
              <w:rPr>
                <w:b/>
                <w:bCs/>
              </w:rPr>
            </w:pPr>
            <w:r>
              <w:rPr>
                <w:noProof/>
                <w:lang w:eastAsia="de-DE"/>
              </w:rPr>
              <w:drawing>
                <wp:inline distT="0" distB="0" distL="0" distR="0" wp14:anchorId="0B892F6E" wp14:editId="28ED558C">
                  <wp:extent cx="501650" cy="501650"/>
                  <wp:effectExtent l="0" t="0" r="0" b="0"/>
                  <wp:docPr id="31" name="Grafik 31" descr="C:\Users\Adr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rian\AppData\Local\Microsoft\Windows\INetCache\Content.Word\Ätze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7C794F" w:rsidRPr="009C5E28" w:rsidRDefault="007C794F" w:rsidP="00586BCE">
            <w:pPr>
              <w:spacing w:after="0"/>
              <w:jc w:val="center"/>
            </w:pPr>
            <w:r>
              <w:rPr>
                <w:noProof/>
                <w:lang w:eastAsia="de-DE"/>
              </w:rPr>
              <w:drawing>
                <wp:inline distT="0" distB="0" distL="0" distR="0" wp14:anchorId="33F79362" wp14:editId="3BDDE0EE">
                  <wp:extent cx="501650" cy="501650"/>
                  <wp:effectExtent l="0" t="0" r="0" b="0"/>
                  <wp:docPr id="30" name="Grafik 30" descr="C:\Users\Adrian\AppData\Local\Microsoft\Windows\INetCache\Content.Word\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rian\AppData\Local\Microsoft\Windows\INetCache\Content.Word\Brandfördern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7C794F" w:rsidRPr="009C5E28" w:rsidRDefault="007C794F" w:rsidP="00586BCE">
            <w:pPr>
              <w:spacing w:after="0"/>
              <w:jc w:val="center"/>
            </w:pPr>
            <w:r>
              <w:rPr>
                <w:noProof/>
                <w:lang w:eastAsia="de-DE"/>
              </w:rPr>
              <w:drawing>
                <wp:inline distT="0" distB="0" distL="0" distR="0" wp14:anchorId="4A0AEB7E" wp14:editId="1FF9233B">
                  <wp:extent cx="482600" cy="482600"/>
                  <wp:effectExtent l="0" t="0" r="0" b="0"/>
                  <wp:docPr id="32" name="Grafik 32" descr="C:\Users\Adrian\AppData\Local\Microsoft\Windows\INetCache\Content.Word\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rian\AppData\Local\Microsoft\Windows\INetCache\Content.Word\Brennba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1009" w:type="dxa"/>
            <w:shd w:val="clear" w:color="auto" w:fill="auto"/>
            <w:vAlign w:val="center"/>
          </w:tcPr>
          <w:p w:rsidR="007C794F" w:rsidRPr="009C5E28" w:rsidRDefault="007C794F" w:rsidP="00586BCE">
            <w:pPr>
              <w:spacing w:after="0"/>
              <w:jc w:val="center"/>
            </w:pPr>
            <w:r>
              <w:rPr>
                <w:noProof/>
                <w:lang w:eastAsia="de-DE"/>
              </w:rPr>
              <w:drawing>
                <wp:inline distT="0" distB="0" distL="0" distR="0" wp14:anchorId="33C95BD6" wp14:editId="4ED4EC92">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7C794F" w:rsidRPr="009C5E28" w:rsidRDefault="007C794F" w:rsidP="00586BCE">
            <w:pPr>
              <w:spacing w:after="0"/>
              <w:jc w:val="center"/>
            </w:pPr>
            <w:r>
              <w:rPr>
                <w:noProof/>
                <w:lang w:eastAsia="de-DE"/>
              </w:rPr>
              <w:drawing>
                <wp:inline distT="0" distB="0" distL="0" distR="0" wp14:anchorId="59846FFC" wp14:editId="48C8F34F">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7C794F" w:rsidRPr="009C5E28" w:rsidRDefault="007C794F" w:rsidP="00586BCE">
            <w:pPr>
              <w:spacing w:after="0"/>
              <w:jc w:val="center"/>
            </w:pPr>
            <w:r>
              <w:rPr>
                <w:noProof/>
                <w:lang w:eastAsia="de-DE"/>
              </w:rPr>
              <w:drawing>
                <wp:inline distT="0" distB="0" distL="0" distR="0" wp14:anchorId="602AF297" wp14:editId="6AA98356">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7C794F" w:rsidRPr="009C5E28" w:rsidRDefault="007C794F" w:rsidP="00586BCE">
            <w:pPr>
              <w:spacing w:after="0"/>
              <w:jc w:val="center"/>
            </w:pPr>
            <w:r>
              <w:rPr>
                <w:noProof/>
                <w:lang w:eastAsia="de-DE"/>
              </w:rPr>
              <w:drawing>
                <wp:inline distT="0" distB="0" distL="0" distR="0">
                  <wp:extent cx="478155" cy="478155"/>
                  <wp:effectExtent l="0" t="0" r="0" b="0"/>
                  <wp:docPr id="69" name="Grafik 69" descr="Gif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ti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tc>
        <w:tc>
          <w:tcPr>
            <w:tcW w:w="1009" w:type="dxa"/>
            <w:shd w:val="clear" w:color="auto" w:fill="auto"/>
            <w:vAlign w:val="center"/>
          </w:tcPr>
          <w:p w:rsidR="007C794F" w:rsidRPr="009C5E28" w:rsidRDefault="007C794F" w:rsidP="00586BCE">
            <w:pPr>
              <w:spacing w:after="0"/>
              <w:jc w:val="center"/>
            </w:pPr>
            <w:r>
              <w:rPr>
                <w:noProof/>
                <w:lang w:eastAsia="de-DE"/>
              </w:rPr>
              <w:drawing>
                <wp:inline distT="0" distB="0" distL="0" distR="0">
                  <wp:extent cx="503555" cy="503555"/>
                  <wp:effectExtent l="0" t="0" r="0" b="0"/>
                  <wp:docPr id="68" name="Grafik 68"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izen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134" w:type="dxa"/>
            <w:shd w:val="clear" w:color="auto" w:fill="auto"/>
            <w:vAlign w:val="center"/>
          </w:tcPr>
          <w:p w:rsidR="007C794F" w:rsidRPr="009C5E28" w:rsidRDefault="007C794F" w:rsidP="00586BCE">
            <w:pPr>
              <w:spacing w:after="0"/>
              <w:jc w:val="center"/>
            </w:pPr>
            <w:r>
              <w:rPr>
                <w:noProof/>
                <w:lang w:eastAsia="de-DE"/>
              </w:rPr>
              <w:drawing>
                <wp:inline distT="0" distB="0" distL="0" distR="0">
                  <wp:extent cx="587375" cy="587375"/>
                  <wp:effectExtent l="0" t="0" r="3175" b="3175"/>
                  <wp:docPr id="67" name="Grafik 67"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weltgefah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375" cy="587375"/>
                          </a:xfrm>
                          <a:prstGeom prst="rect">
                            <a:avLst/>
                          </a:prstGeom>
                          <a:noFill/>
                          <a:ln>
                            <a:noFill/>
                          </a:ln>
                        </pic:spPr>
                      </pic:pic>
                    </a:graphicData>
                  </a:graphic>
                </wp:inline>
              </w:drawing>
            </w:r>
          </w:p>
        </w:tc>
      </w:tr>
    </w:tbl>
    <w:p w:rsidR="007C794F" w:rsidRDefault="007C794F" w:rsidP="007C794F">
      <w:pPr>
        <w:tabs>
          <w:tab w:val="left" w:pos="1701"/>
          <w:tab w:val="left" w:pos="1985"/>
        </w:tabs>
        <w:ind w:left="1980" w:hanging="1980"/>
      </w:pPr>
    </w:p>
    <w:p w:rsidR="007C794F" w:rsidRDefault="007C794F" w:rsidP="007C794F">
      <w:pPr>
        <w:tabs>
          <w:tab w:val="left" w:pos="1701"/>
          <w:tab w:val="left" w:pos="1985"/>
        </w:tabs>
        <w:ind w:left="1980" w:hanging="1980"/>
      </w:pPr>
      <w:r>
        <w:t xml:space="preserve">Materialien: </w:t>
      </w:r>
      <w:r>
        <w:tab/>
      </w:r>
      <w:r>
        <w:tab/>
        <w:t>Doppel-U-Rohr mit Fritten, Stativmaterial, 2 Platinelektroden, Spannungsquelle, Kabel, Multimeter</w:t>
      </w:r>
    </w:p>
    <w:p w:rsidR="007C794F" w:rsidRPr="00ED07C2" w:rsidRDefault="007C794F" w:rsidP="007C794F">
      <w:pPr>
        <w:tabs>
          <w:tab w:val="left" w:pos="1701"/>
          <w:tab w:val="left" w:pos="1985"/>
        </w:tabs>
        <w:ind w:left="1980" w:hanging="1980"/>
      </w:pPr>
      <w:r>
        <w:t>Chemikalien:</w:t>
      </w:r>
      <w:r>
        <w:tab/>
      </w:r>
      <w:r>
        <w:tab/>
        <w:t>60 mL Kaliumnitrat-Lösung (0,1 M), 10 mL Kaliumpermanganat-Lösung (0,1 M), 30 mL Kupfersulfat-Lösung (0,1 M), Ammoniak-Lösung (w = 25%)</w:t>
      </w:r>
    </w:p>
    <w:p w:rsidR="007C794F" w:rsidRDefault="007C794F" w:rsidP="007C794F">
      <w:pPr>
        <w:ind w:left="1980" w:hanging="1980"/>
      </w:pPr>
      <w:r>
        <w:t>Durchführung:</w:t>
      </w:r>
      <w:r>
        <w:tab/>
        <w:t xml:space="preserve">Es werden jeweils 0,1 M Lösungen der Salze Kaliumnitrat, Kupfersulfat und Kaliumpermanganat hergestellt. Die Kupfersulfat-Lösung wird nun so lange mit konzentrierter Ammoniaklösung versetzt, bis sich der hellblaue Niederschlag wieder löst und die Lösung dunkelblau und klar wird. Zu 30 mL dieser Lösung werden 10 mL der violetten Kaliumpermanganat-Lösung </w:t>
      </w:r>
      <w:r>
        <w:lastRenderedPageBreak/>
        <w:t>gegeben. Diese Mischung wird in das mittlere Rohr des Doppel-U-Rohres gegeben. In die beiden äußeren Rohre werden jeweils 30 mL der 0,1 M Kaliumnitrat-Lösung gefüllt und die Platinelektroden gestellt, die über die Kabel mit der Spannungsquelle verbunden werden. Zur Überprüfung wird ein Multimeter parallelgeschaltet. Zum Starten des Versuchs wird an der Spannungsquelle Gleichstrom mit einer Spannung von 15 V angelegt.</w:t>
      </w:r>
    </w:p>
    <w:p w:rsidR="007C794F" w:rsidRDefault="007C794F" w:rsidP="007C794F">
      <w:pPr>
        <w:tabs>
          <w:tab w:val="left" w:pos="1701"/>
          <w:tab w:val="left" w:pos="1985"/>
        </w:tabs>
        <w:ind w:left="1980" w:hanging="1980"/>
      </w:pPr>
      <w:r>
        <w:t>Beobachtung:</w:t>
      </w:r>
      <w:r>
        <w:tab/>
      </w:r>
      <w:r>
        <w:tab/>
        <w:t>An beiden Elektroden ist eine Gasentwicklung zu beobachten. Nach etwa 15 Minuten beginnt sich der Teil des U-Rohres, dessen Elektrode mit dem Plus-Pol der Spannungsquelle verbunden ist, von der Fritte ausgehend violett zu färben. Im anderen äußeren Schenkel werden hell blaue Ablagerungen sichtbar. Mit fortlaufender Versuchsdauer werden die Färbungen in den beiden äußeren Rohren stärker und der Niederschlag im zweiten Rohr größer.</w:t>
      </w:r>
    </w:p>
    <w:p w:rsidR="007C794F" w:rsidRDefault="007C794F" w:rsidP="007C794F">
      <w:pPr>
        <w:tabs>
          <w:tab w:val="left" w:pos="1701"/>
          <w:tab w:val="left" w:pos="1985"/>
        </w:tabs>
        <w:ind w:left="1980" w:hanging="1980"/>
      </w:pPr>
      <w:r>
        <w:rPr>
          <w:noProof/>
          <w:lang w:eastAsia="de-DE"/>
        </w:rPr>
        <mc:AlternateContent>
          <mc:Choice Requires="wps">
            <w:drawing>
              <wp:anchor distT="0" distB="0" distL="114300" distR="114300" simplePos="0" relativeHeight="251661312" behindDoc="0" locked="0" layoutInCell="1" allowOverlap="1" wp14:anchorId="04207D72" wp14:editId="6D7933E9">
                <wp:simplePos x="0" y="0"/>
                <wp:positionH relativeFrom="column">
                  <wp:posOffset>268605</wp:posOffset>
                </wp:positionH>
                <wp:positionV relativeFrom="paragraph">
                  <wp:posOffset>3943985</wp:posOffset>
                </wp:positionV>
                <wp:extent cx="5760085" cy="635"/>
                <wp:effectExtent l="0" t="0" r="0" b="5715"/>
                <wp:wrapTopAndBottom/>
                <wp:docPr id="4" name="Textfeld 4"/>
                <wp:cNvGraphicFramePr/>
                <a:graphic xmlns:a="http://schemas.openxmlformats.org/drawingml/2006/main">
                  <a:graphicData uri="http://schemas.microsoft.com/office/word/2010/wordprocessingShape">
                    <wps:wsp>
                      <wps:cNvSpPr txBox="1"/>
                      <wps:spPr>
                        <a:xfrm>
                          <a:off x="0" y="0"/>
                          <a:ext cx="5760085" cy="635"/>
                        </a:xfrm>
                        <a:prstGeom prst="rect">
                          <a:avLst/>
                        </a:prstGeom>
                        <a:solidFill>
                          <a:prstClr val="white"/>
                        </a:solidFill>
                        <a:ln>
                          <a:noFill/>
                        </a:ln>
                      </wps:spPr>
                      <wps:txbx>
                        <w:txbxContent>
                          <w:p w:rsidR="007C794F" w:rsidRPr="00F15FDA" w:rsidRDefault="007C794F" w:rsidP="007C794F">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Aufbau und Beobachtung des Versuchs zur Ionenbeweglichkeit.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207D72" id="Textfeld 4" o:spid="_x0000_s1027" type="#_x0000_t202" style="position:absolute;left:0;text-align:left;margin-left:21.15pt;margin-top:310.55pt;width:453.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" stroked="f">
                <v:textbox style="mso-fit-shape-to-text:t" inset="0,0,0,0">
                  <w:txbxContent>
                    <w:p w:rsidR="007C794F" w:rsidRPr="00F15FDA" w:rsidRDefault="007C794F" w:rsidP="007C794F">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Aufbau und Beobachtung des Versuchs zur Ionenbeweglichkeit.</w:t>
                      </w:r>
                    </w:p>
                  </w:txbxContent>
                </v:textbox>
                <w10:wrap type="topAndBottom"/>
              </v:shape>
            </w:pict>
          </mc:Fallback>
        </mc:AlternateContent>
      </w:r>
      <w:r>
        <w:rPr>
          <w:noProof/>
          <w:lang w:eastAsia="de-DE"/>
        </w:rPr>
        <w:drawing>
          <wp:anchor distT="0" distB="0" distL="114300" distR="114300" simplePos="0" relativeHeight="251660288" behindDoc="0" locked="0" layoutInCell="1" allowOverlap="1">
            <wp:simplePos x="0" y="0"/>
            <wp:positionH relativeFrom="column">
              <wp:posOffset>217805</wp:posOffset>
            </wp:positionH>
            <wp:positionV relativeFrom="paragraph">
              <wp:posOffset>283845</wp:posOffset>
            </wp:positionV>
            <wp:extent cx="5760085" cy="3576955"/>
            <wp:effectExtent l="0" t="0" r="0" b="4445"/>
            <wp:wrapTopAndBottom/>
            <wp:docPr id="70" name="Grafik 70" descr="IMG_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5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3576955"/>
                    </a:xfrm>
                    <a:prstGeom prst="rect">
                      <a:avLst/>
                    </a:prstGeom>
                    <a:noFill/>
                  </pic:spPr>
                </pic:pic>
              </a:graphicData>
            </a:graphic>
            <wp14:sizeRelH relativeFrom="page">
              <wp14:pctWidth>0</wp14:pctWidth>
            </wp14:sizeRelH>
            <wp14:sizeRelV relativeFrom="page">
              <wp14:pctHeight>0</wp14:pctHeight>
            </wp14:sizeRelV>
          </wp:anchor>
        </w:drawing>
      </w:r>
    </w:p>
    <w:p w:rsidR="007C794F" w:rsidRDefault="007C794F" w:rsidP="007C794F">
      <w:pPr>
        <w:tabs>
          <w:tab w:val="left" w:pos="1701"/>
          <w:tab w:val="left" w:pos="1985"/>
        </w:tabs>
        <w:ind w:left="1980" w:hanging="1980"/>
      </w:pPr>
    </w:p>
    <w:p w:rsidR="007C794F" w:rsidRDefault="007C794F" w:rsidP="007C794F">
      <w:pPr>
        <w:tabs>
          <w:tab w:val="left" w:pos="1276"/>
          <w:tab w:val="left" w:pos="1985"/>
        </w:tabs>
        <w:ind w:left="1985" w:hanging="1985"/>
      </w:pPr>
      <w:r>
        <w:t>Deutung:</w:t>
      </w:r>
      <w:r>
        <w:tab/>
      </w:r>
      <w:r>
        <w:tab/>
        <w:t>Die mit dem Plus-Pol verbundene Elektrode ist die Kathode, die mit dem Minus-Pol verbundene Elektrode ist die Anode. Die Gasentwicklung an beiden Elektroden tritt durch die Elektrolyse von Wasser auf. An der Kathode wird Wasserstoff reduziert und an der Kathode Sauerstoff oxidiert:</w:t>
      </w:r>
    </w:p>
    <w:p w:rsidR="007C794F" w:rsidRPr="00105884" w:rsidRDefault="007C794F" w:rsidP="007C794F">
      <w:pPr>
        <w:ind w:left="1985"/>
        <w:rPr>
          <w:rFonts w:eastAsiaTheme="minorEastAsia"/>
          <w:lang w:val="en-US"/>
        </w:rPr>
      </w:pPr>
      <w:r w:rsidRPr="00105884">
        <w:rPr>
          <w:rFonts w:eastAsiaTheme="minorEastAsia"/>
          <w:lang w:val="en-US"/>
        </w:rPr>
        <w:t>Kathode:</w:t>
      </w:r>
      <w:r w:rsidRPr="00105884">
        <w:rPr>
          <w:rFonts w:eastAsiaTheme="minorEastAsia"/>
          <w:lang w:val="en-US"/>
        </w:rPr>
        <w:tab/>
      </w:r>
      <w:r w:rsidRPr="00105884">
        <w:rPr>
          <w:rFonts w:eastAsiaTheme="minorEastAsia"/>
          <w:lang w:val="en-US"/>
        </w:rPr>
        <w:tab/>
      </w:r>
      <m:oMath>
        <m:r>
          <w:rPr>
            <w:rFonts w:ascii="Cambria Math" w:eastAsiaTheme="minorEastAsia" w:hAnsi="Cambria Math"/>
            <w:lang w:val="en-US"/>
          </w:rPr>
          <m:t xml:space="preserve">2 </m:t>
        </m:r>
        <m:sSub>
          <m:sSubPr>
            <m:ctrlPr>
              <w:rPr>
                <w:rFonts w:ascii="Cambria Math" w:hAnsi="Cambria Math"/>
              </w:rPr>
            </m:ctrlPr>
          </m:sSubPr>
          <m:e>
            <m:sSub>
              <m:sSubPr>
                <m:ctrlPr>
                  <w:rPr>
                    <w:rFonts w:ascii="Cambria Math" w:hAnsi="Cambria Math"/>
                  </w:rPr>
                </m:ctrlPr>
              </m:sSubPr>
              <m:e>
                <m:r>
                  <m:rPr>
                    <m:sty m:val="p"/>
                  </m:rPr>
                  <w:rPr>
                    <w:rFonts w:ascii="Cambria Math" w:hAnsi="Cambria Math"/>
                    <w:lang w:val="en-US"/>
                  </w:rPr>
                  <m:t>H</m:t>
                </m:r>
              </m:e>
              <m:sub>
                <m:r>
                  <w:rPr>
                    <w:rFonts w:ascii="Cambria Math" w:hAnsi="Cambria Math"/>
                    <w:lang w:val="en-US"/>
                  </w:rPr>
                  <m:t>2</m:t>
                </m:r>
              </m:sub>
            </m:sSub>
            <m:r>
              <m:rPr>
                <m:sty m:val="p"/>
              </m:rPr>
              <w:rPr>
                <w:rFonts w:ascii="Cambria Math" w:hAnsi="Cambria Math"/>
                <w:lang w:val="en-US"/>
              </w:rPr>
              <m:t xml:space="preserve">O </m:t>
            </m:r>
          </m:e>
          <m:sub>
            <m:d>
              <m:dPr>
                <m:ctrlPr>
                  <w:rPr>
                    <w:rFonts w:ascii="Cambria Math" w:hAnsi="Cambria Math"/>
                  </w:rPr>
                </m:ctrlPr>
              </m:dPr>
              <m:e>
                <m:r>
                  <m:rPr>
                    <m:sty m:val="p"/>
                  </m:rPr>
                  <w:rPr>
                    <w:rFonts w:ascii="Cambria Math" w:hAnsi="Cambria Math"/>
                    <w:lang w:val="en-US"/>
                  </w:rPr>
                  <m:t>l</m:t>
                </m:r>
              </m:e>
            </m:d>
          </m:sub>
        </m:sSub>
        <m:r>
          <w:rPr>
            <w:rFonts w:ascii="Cambria Math" w:hAnsi="Cambria Math"/>
            <w:lang w:val="en-US"/>
          </w:rPr>
          <m:t xml:space="preserve">+2 </m:t>
        </m:r>
        <m:sSup>
          <m:sSupPr>
            <m:ctrlPr>
              <w:rPr>
                <w:rFonts w:ascii="Cambria Math" w:hAnsi="Cambria Math"/>
              </w:rPr>
            </m:ctrlPr>
          </m:sSupPr>
          <m:e>
            <m:r>
              <m:rPr>
                <m:sty m:val="p"/>
              </m:rPr>
              <w:rPr>
                <w:rFonts w:ascii="Cambria Math" w:hAnsi="Cambria Math"/>
                <w:lang w:val="en-US"/>
              </w:rPr>
              <m:t>e</m:t>
            </m:r>
          </m:e>
          <m:sup>
            <m:r>
              <w:rPr>
                <w:rFonts w:ascii="Cambria Math" w:hAnsi="Cambria Math"/>
                <w:lang w:val="en-US"/>
              </w:rPr>
              <m:t>-</m:t>
            </m:r>
          </m:sup>
        </m:sSup>
        <m:r>
          <w:rPr>
            <w:rFonts w:ascii="Cambria Math" w:hAnsi="Cambria Math"/>
            <w:lang w:val="en-US"/>
          </w:rPr>
          <m:t>→</m:t>
        </m:r>
        <m:sSub>
          <m:sSubPr>
            <m:ctrlPr>
              <w:rPr>
                <w:rFonts w:ascii="Cambria Math" w:hAnsi="Cambria Math"/>
              </w:rPr>
            </m:ctrlPr>
          </m:sSubPr>
          <m:e>
            <m:r>
              <m:rPr>
                <m:sty m:val="p"/>
              </m:rPr>
              <w:rPr>
                <w:rFonts w:ascii="Cambria Math" w:hAnsi="Cambria Math"/>
                <w:lang w:val="en-US"/>
              </w:rPr>
              <m:t>H</m:t>
            </m:r>
          </m:e>
          <m:sub>
            <m:r>
              <m:rPr>
                <m:sty m:val="p"/>
              </m:rPr>
              <w:rPr>
                <w:rFonts w:ascii="Cambria Math" w:hAnsi="Cambria Math"/>
                <w:lang w:val="en-US"/>
              </w:rPr>
              <m:t xml:space="preserve">2 </m:t>
            </m:r>
            <m:d>
              <m:dPr>
                <m:ctrlPr>
                  <w:rPr>
                    <w:rFonts w:ascii="Cambria Math" w:hAnsi="Cambria Math"/>
                  </w:rPr>
                </m:ctrlPr>
              </m:dPr>
              <m:e>
                <m:r>
                  <m:rPr>
                    <m:sty m:val="p"/>
                  </m:rPr>
                  <w:rPr>
                    <w:rFonts w:ascii="Cambria Math" w:hAnsi="Cambria Math"/>
                    <w:lang w:val="en-US"/>
                  </w:rPr>
                  <m:t>g</m:t>
                </m:r>
              </m:e>
            </m:d>
          </m:sub>
        </m:sSub>
        <m:r>
          <m:rPr>
            <m:sty m:val="p"/>
          </m:rPr>
          <w:rPr>
            <w:rFonts w:ascii="Cambria Math" w:hAnsi="Cambria Math"/>
            <w:lang w:val="en-US"/>
          </w:rPr>
          <m:t xml:space="preserve"> +</m:t>
        </m:r>
        <m:r>
          <w:rPr>
            <w:rFonts w:ascii="Cambria Math" w:hAnsi="Cambria Math"/>
            <w:lang w:val="en-US"/>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lang w:val="en-US"/>
                  </w:rPr>
                  <m:t>OH</m:t>
                </m:r>
              </m:e>
              <m:sup>
                <m:r>
                  <w:rPr>
                    <w:rFonts w:ascii="Cambria Math" w:hAnsi="Cambria Math"/>
                    <w:lang w:val="en-US"/>
                  </w:rPr>
                  <m:t>-</m:t>
                </m:r>
              </m:sup>
            </m:sSup>
          </m:e>
          <m:sub>
            <m:d>
              <m:dPr>
                <m:ctrlPr>
                  <w:rPr>
                    <w:rFonts w:ascii="Cambria Math" w:hAnsi="Cambria Math"/>
                  </w:rPr>
                </m:ctrlPr>
              </m:dPr>
              <m:e>
                <m:r>
                  <m:rPr>
                    <m:sty m:val="p"/>
                  </m:rPr>
                  <w:rPr>
                    <w:rFonts w:ascii="Cambria Math" w:hAnsi="Cambria Math"/>
                    <w:lang w:val="en-US"/>
                  </w:rPr>
                  <m:t>aq</m:t>
                </m:r>
              </m:e>
            </m:d>
          </m:sub>
        </m:sSub>
        <m:r>
          <m:rPr>
            <m:sty m:val="p"/>
          </m:rPr>
          <w:rPr>
            <w:rFonts w:ascii="Cambria Math" w:hAnsi="Cambria Math"/>
            <w:lang w:val="en-US"/>
          </w:rPr>
          <m:t xml:space="preserve"> </m:t>
        </m:r>
      </m:oMath>
    </w:p>
    <w:p w:rsidR="007C794F" w:rsidRDefault="007C794F" w:rsidP="007C794F">
      <w:pPr>
        <w:ind w:left="1985"/>
      </w:pPr>
      <w:r>
        <w:rPr>
          <w:rFonts w:eastAsiaTheme="minorEastAsia"/>
        </w:rPr>
        <w:lastRenderedPageBreak/>
        <w:t xml:space="preserve">Anode: </w:t>
      </w:r>
      <w:r>
        <w:rPr>
          <w:rFonts w:eastAsiaTheme="minorEastAsia"/>
        </w:rPr>
        <w:tab/>
      </w:r>
      <w:r>
        <w:rPr>
          <w:rFonts w:eastAsiaTheme="minorEastAsia"/>
        </w:rPr>
        <w:tab/>
      </w:r>
      <m:oMath>
        <m:r>
          <w:rPr>
            <w:rFonts w:ascii="Cambria Math" w:eastAsiaTheme="minorEastAsia" w:hAnsi="Cambria Math"/>
          </w:rPr>
          <m:t xml:space="preserve"> 6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e>
          <m:sub>
            <m:r>
              <w:rPr>
                <w:rFonts w:ascii="Cambria Math" w:hAnsi="Cambria Math"/>
              </w:rPr>
              <m:t xml:space="preserve"> </m:t>
            </m:r>
            <m:d>
              <m:dPr>
                <m:ctrlPr>
                  <w:rPr>
                    <w:rFonts w:ascii="Cambria Math" w:hAnsi="Cambria Math"/>
                  </w:rPr>
                </m:ctrlPr>
              </m:dPr>
              <m:e>
                <m:r>
                  <m:rPr>
                    <m:sty m:val="p"/>
                  </m:rPr>
                  <w:rPr>
                    <w:rFonts w:ascii="Cambria Math" w:hAnsi="Cambria Math"/>
                  </w:rPr>
                  <m:t>l</m:t>
                </m:r>
              </m:e>
            </m:d>
          </m:sub>
        </m:sSub>
        <m:r>
          <m:rPr>
            <m:sty m:val="p"/>
          </m:rPr>
          <w:rPr>
            <w:rFonts w:ascii="Cambria Math" w:hAnsi="Cambria Math"/>
          </w:rPr>
          <m:t xml:space="preserve"> </m:t>
        </m:r>
        <m: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 +</m:t>
        </m:r>
        <m:r>
          <w:rPr>
            <w:rFonts w:ascii="Cambria Math" w:hAnsi="Cambria Math"/>
          </w:rPr>
          <m:t xml:space="preserve">4 </m:t>
        </m:r>
        <m:sSubSup>
          <m:sSubSupPr>
            <m:ctrlPr>
              <w:rPr>
                <w:rFonts w:ascii="Cambria Math" w:hAnsi="Cambria Math"/>
                <w:i/>
              </w:rPr>
            </m:ctrlPr>
          </m:sSubSupPr>
          <m:e>
            <m:sSub>
              <m:sSubPr>
                <m:ctrlPr>
                  <w:rPr>
                    <w:rFonts w:ascii="Cambria Math" w:hAnsi="Cambria Math"/>
                  </w:rPr>
                </m:ctrlPr>
              </m:sSubPr>
              <m:e>
                <m:r>
                  <m:rPr>
                    <m:sty m:val="p"/>
                  </m:rPr>
                  <w:rPr>
                    <w:rFonts w:ascii="Cambria Math" w:hAnsi="Cambria Math"/>
                  </w:rPr>
                  <m:t>H</m:t>
                </m:r>
              </m:e>
              <m:sub>
                <m:r>
                  <w:rPr>
                    <w:rFonts w:ascii="Cambria Math" w:hAnsi="Cambria Math"/>
                  </w:rPr>
                  <m:t>3</m:t>
                </m:r>
              </m:sub>
            </m:sSub>
            <m:r>
              <m:rPr>
                <m:sty m:val="p"/>
              </m:rPr>
              <w:rPr>
                <w:rFonts w:ascii="Cambria Math" w:hAnsi="Cambria Math"/>
              </w:rPr>
              <m:t>O</m:t>
            </m:r>
          </m:e>
          <m:sub>
            <m:r>
              <w:rPr>
                <w:rFonts w:ascii="Cambria Math" w:hAnsi="Cambria Math"/>
              </w:rPr>
              <m:t xml:space="preserve"> </m:t>
            </m:r>
            <m:d>
              <m:dPr>
                <m:ctrlPr>
                  <w:rPr>
                    <w:rFonts w:ascii="Cambria Math" w:hAnsi="Cambria Math"/>
                  </w:rPr>
                </m:ctrlPr>
              </m:dPr>
              <m:e>
                <m:r>
                  <m:rPr>
                    <m:sty m:val="p"/>
                  </m:rPr>
                  <w:rPr>
                    <w:rFonts w:ascii="Cambria Math" w:hAnsi="Cambria Math"/>
                  </w:rPr>
                  <m:t>aq</m:t>
                </m:r>
              </m:e>
            </m:d>
          </m:sub>
          <m:sup>
            <m:r>
              <w:rPr>
                <w:rFonts w:ascii="Cambria Math" w:hAnsi="Cambria Math"/>
              </w:rPr>
              <m:t>+</m:t>
            </m:r>
          </m:sup>
        </m:sSubSup>
        <m:r>
          <m:rPr>
            <m:sty m:val="p"/>
          </m:rPr>
          <w:rPr>
            <w:rFonts w:ascii="Cambria Math" w:hAnsi="Cambria Math"/>
          </w:rPr>
          <m:t xml:space="preserve"> </m:t>
        </m:r>
        <m:r>
          <w:rPr>
            <w:rFonts w:ascii="Cambria Math" w:hAnsi="Cambria Math"/>
          </w:rPr>
          <m:t xml:space="preserve">+4 </m:t>
        </m:r>
        <m:sSup>
          <m:sSupPr>
            <m:ctrlPr>
              <w:rPr>
                <w:rFonts w:ascii="Cambria Math" w:hAnsi="Cambria Math"/>
              </w:rPr>
            </m:ctrlPr>
          </m:sSupPr>
          <m:e>
            <m:r>
              <m:rPr>
                <m:sty m:val="p"/>
              </m:rPr>
              <w:rPr>
                <w:rFonts w:ascii="Cambria Math" w:hAnsi="Cambria Math"/>
              </w:rPr>
              <m:t>e</m:t>
            </m:r>
          </m:e>
          <m:sup>
            <m:r>
              <w:rPr>
                <w:rFonts w:ascii="Cambria Math" w:hAnsi="Cambria Math"/>
              </w:rPr>
              <m:t>-</m:t>
            </m:r>
          </m:sup>
        </m:sSup>
      </m:oMath>
    </w:p>
    <w:p w:rsidR="007C794F" w:rsidRDefault="007C794F" w:rsidP="007C794F">
      <w:pPr>
        <w:ind w:left="1985" w:hanging="1985"/>
        <w:rPr>
          <w:rFonts w:eastAsiaTheme="minorEastAsia"/>
        </w:rPr>
      </w:pPr>
      <w:r>
        <w:rPr>
          <w:rFonts w:eastAsiaTheme="minorEastAsia"/>
        </w:rPr>
        <w:tab/>
        <w:t>Die Violettfärbung entsteht bei der Wanderung negativ geladener Permanganat-Ionen zum Plus-Pol der Anode. Dagegen diffundieren positiv geladene Tetraaminokupfer(II)-Ionen durch die Fritte zum Minus-Pol der Kathode. Durch die auf dieser Seite gelösten Hydroxid-Ionen aus der Elektrolyse, entsteht das schwerlösliche Kupfer(II)-hydroxid, dass die helle Blaufärbung hervorruft. Dies ist auch bei der Zugabe von Ammoniak-Lösung zur Kupfersulfat-Lösung zu beobachten gewesen, bevor sich der dunkelblaue Kupfer(II)-tetraamino-Komplex gebildet hat. Die Kalium- und Nitrat-Ionen wirken als Salzbrücke für den Ladungsausgleich zwischen allen drei Schenkeln des U-Rohres.</w:t>
      </w:r>
    </w:p>
    <w:p w:rsidR="007C794F" w:rsidRDefault="007C794F" w:rsidP="007C794F">
      <w:pPr>
        <w:ind w:left="1985" w:hanging="1985"/>
        <w:rPr>
          <w:rFonts w:eastAsiaTheme="minorEastAsia"/>
        </w:rPr>
      </w:pPr>
      <w:r>
        <w:rPr>
          <w:rFonts w:eastAsiaTheme="minorEastAsia"/>
        </w:rPr>
        <w:tab/>
        <w:t>Didaktische Reduktion: Für die Schülerinnen und Schüler der 9. und 10. Klassenstufe sollte hier nicht auf die Komplexreaktionen eingegangen werden. Alle anderen Bereiche können bei entsprechendem Vorwissen zur Wiederholung und Vertiefung angesprochen, können aber auch nur am Rande behandelt werden, wenn der Fokus allein auf der Ionenwanderung liegen soll. Die Überführung der Ionen in die Elektrodenräume kann hier an einem geeigneten Teilchenmodell dargestellt werden.</w:t>
      </w:r>
    </w:p>
    <w:p w:rsidR="007C794F" w:rsidRDefault="007C794F" w:rsidP="007C794F">
      <w:pPr>
        <w:tabs>
          <w:tab w:val="left" w:pos="1985"/>
        </w:tabs>
        <w:ind w:left="1985" w:hanging="1985"/>
        <w:jc w:val="left"/>
      </w:pPr>
      <w:r>
        <w:t>Entsorgung:</w:t>
      </w:r>
      <w:r>
        <w:tab/>
        <w:t>Die Lösungen aus dem U-Rohr werden in den Abfall für anorganische Metallsalzlösungen gegeben.</w:t>
      </w:r>
    </w:p>
    <w:p w:rsidR="007C794F" w:rsidRDefault="007C794F" w:rsidP="007C794F">
      <w:pPr>
        <w:ind w:left="1985" w:hanging="1985"/>
        <w:jc w:val="left"/>
        <w:rPr>
          <w:rFonts w:asciiTheme="majorHAnsi" w:hAnsiTheme="majorHAnsi"/>
        </w:rPr>
      </w:pPr>
      <w:r>
        <w:t>Literatur:</w:t>
      </w:r>
      <w:r>
        <w:tab/>
      </w:r>
      <w:r w:rsidRPr="001375A4">
        <w:t>Prof. Blumes Medienangebot: Elektrochemie (2016). Online verfügbar unter http://www.chemieunterricht.de/dc2/echemie/ionwanv.htm, zuletzt aktualisiert am 04.07.2016, zuletzt geprüft am 28.07.2016.</w:t>
      </w:r>
    </w:p>
    <w:p w:rsidR="007C794F" w:rsidRDefault="007C794F" w:rsidP="007C794F">
      <w:pPr>
        <w:tabs>
          <w:tab w:val="left" w:pos="1701"/>
          <w:tab w:val="left" w:pos="1985"/>
        </w:tabs>
        <w:ind w:left="1980" w:hanging="1980"/>
      </w:pPr>
      <w:r>
        <w:rPr>
          <w:noProof/>
          <w:lang w:eastAsia="de-DE"/>
        </w:rPr>
        <mc:AlternateContent>
          <mc:Choice Requires="wps">
            <w:drawing>
              <wp:inline distT="0" distB="0" distL="0" distR="0" wp14:anchorId="5DC96602" wp14:editId="125B3804">
                <wp:extent cx="5873115" cy="1282700"/>
                <wp:effectExtent l="0" t="0" r="13335" b="12700"/>
                <wp:docPr id="4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27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794F" w:rsidRDefault="007C794F" w:rsidP="007C794F">
                            <w:pPr>
                              <w:rPr>
                                <w:color w:val="auto"/>
                              </w:rPr>
                            </w:pPr>
                            <w:r w:rsidRPr="00F31EBF">
                              <w:rPr>
                                <w:b/>
                                <w:color w:val="auto"/>
                              </w:rPr>
                              <w:t>Unterrichtsanschlüsse</w:t>
                            </w:r>
                            <w:r>
                              <w:rPr>
                                <w:b/>
                                <w:color w:val="auto"/>
                              </w:rPr>
                              <w:t>:</w:t>
                            </w:r>
                            <w:r w:rsidRPr="00580AF4">
                              <w:rPr>
                                <w:color w:val="auto"/>
                              </w:rPr>
                              <w:t xml:space="preserve"> </w:t>
                            </w:r>
                            <w:r>
                              <w:rPr>
                                <w:color w:val="auto"/>
                              </w:rPr>
                              <w:t>Der Versuch kann zum Einstieg in die Elektrochemie verwendet werden, da hier auf phänomenologischer Ebene die Beweglichkeit der Ionen zu Polen unterschiedlicher Ladung beobachtet werden kann. Die Deutung kann modellhaft auf Teilchenebene erfolgen und so eine ausgewogene Verbindung zur thematisch folgenden Formelebene der Reaktionsgleichung elektrochemischer Vorgänge herstellen.</w:t>
                            </w:r>
                          </w:p>
                        </w:txbxContent>
                      </wps:txbx>
                      <wps:bodyPr rot="0" vert="horz" wrap="square" lIns="91440" tIns="45720" rIns="91440" bIns="45720" anchor="t" anchorCtr="0" upright="1">
                        <a:noAutofit/>
                      </wps:bodyPr>
                    </wps:wsp>
                  </a:graphicData>
                </a:graphic>
              </wp:inline>
            </w:drawing>
          </mc:Choice>
          <mc:Fallback>
            <w:pict>
              <v:shape w14:anchorId="5DC96602" id="Text Box 234" o:spid="_x0000_s1028" type="#_x0000_t202" style="width:462.45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" fillcolor="white [3201]" strokecolor="#ed7d31 [3205]" strokeweight="1pt">
                <v:stroke dashstyle="dash"/>
                <v:shadow color="#868686"/>
                <v:textbox>
                  <w:txbxContent>
                    <w:p w:rsidR="007C794F" w:rsidRDefault="007C794F" w:rsidP="007C794F">
                      <w:pPr>
                        <w:rPr>
                          <w:color w:val="auto"/>
                        </w:rPr>
                      </w:pPr>
                      <w:r w:rsidRPr="00F31EBF">
                        <w:rPr>
                          <w:b/>
                          <w:color w:val="auto"/>
                        </w:rPr>
                        <w:t>Unterrichtsanschlüsse</w:t>
                      </w:r>
                      <w:r>
                        <w:rPr>
                          <w:b/>
                          <w:color w:val="auto"/>
                        </w:rPr>
                        <w:t>:</w:t>
                      </w:r>
                      <w:r w:rsidRPr="00580AF4">
                        <w:rPr>
                          <w:color w:val="auto"/>
                        </w:rPr>
                        <w:t xml:space="preserve"> </w:t>
                      </w:r>
                      <w:r>
                        <w:rPr>
                          <w:color w:val="auto"/>
                        </w:rPr>
                        <w:t>Der Versuch kann zum Einstieg in die Elektrochemie verwendet werden, da hier auf phänomenologischer Ebene die Beweglichkeit der Ionen zu Polen unterschiedlicher Ladung beobachtet werden kann. Die Deutung kann modellhaft auf Teilchenebene erfolgen und so eine ausgewogene Verbindung zur thematisch folgenden Formelebene der Reaktionsgleichung elektrochemischer Vorgänge herstellen.</w:t>
                      </w:r>
                    </w:p>
                  </w:txbxContent>
                </v:textbox>
                <w10:anchorlock/>
              </v:shape>
            </w:pict>
          </mc:Fallback>
        </mc:AlternateContent>
      </w:r>
    </w:p>
    <w:p w:rsidR="001C369B" w:rsidRPr="007C794F" w:rsidRDefault="001C369B" w:rsidP="007C794F">
      <w:pPr>
        <w:spacing w:line="276" w:lineRule="auto"/>
        <w:jc w:val="left"/>
      </w:pPr>
    </w:p>
    <w:sectPr w:rsidR="001C369B" w:rsidRPr="007C794F" w:rsidSect="00C84DA0">
      <w:pgSz w:w="11906" w:h="16838"/>
      <w:pgMar w:top="1417" w:right="1417" w:bottom="709"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315" w:rsidRDefault="00807315" w:rsidP="0075593D">
      <w:pPr>
        <w:spacing w:after="0" w:line="240" w:lineRule="auto"/>
      </w:pPr>
      <w:r>
        <w:separator/>
      </w:r>
    </w:p>
  </w:endnote>
  <w:endnote w:type="continuationSeparator" w:id="0">
    <w:p w:rsidR="00807315" w:rsidRDefault="00807315" w:rsidP="0075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315" w:rsidRDefault="00807315" w:rsidP="0075593D">
      <w:pPr>
        <w:spacing w:after="0" w:line="240" w:lineRule="auto"/>
      </w:pPr>
      <w:r>
        <w:separator/>
      </w:r>
    </w:p>
  </w:footnote>
  <w:footnote w:type="continuationSeparator" w:id="0">
    <w:p w:rsidR="00807315" w:rsidRDefault="00807315" w:rsidP="00755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1C369B"/>
    <w:rsid w:val="00656137"/>
    <w:rsid w:val="00662142"/>
    <w:rsid w:val="006D2084"/>
    <w:rsid w:val="0075593D"/>
    <w:rsid w:val="007C794F"/>
    <w:rsid w:val="00807315"/>
    <w:rsid w:val="00B13882"/>
    <w:rsid w:val="00B95C6A"/>
    <w:rsid w:val="00D879F3"/>
    <w:rsid w:val="00E060A7"/>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5593D"/>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593D"/>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 w:type="paragraph" w:styleId="Kopfzeile">
    <w:name w:val="header"/>
    <w:basedOn w:val="Standard"/>
    <w:link w:val="KopfzeileZchn"/>
    <w:uiPriority w:val="99"/>
    <w:unhideWhenUsed/>
    <w:rsid w:val="007559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93D"/>
    <w:rPr>
      <w:rFonts w:ascii="Cambria" w:hAnsi="Cambria"/>
      <w:color w:val="171717" w:themeColor="background2" w:themeShade="1A"/>
    </w:rPr>
  </w:style>
  <w:style w:type="paragraph" w:styleId="Fuzeile">
    <w:name w:val="footer"/>
    <w:basedOn w:val="Standard"/>
    <w:link w:val="FuzeileZchn"/>
    <w:uiPriority w:val="99"/>
    <w:unhideWhenUsed/>
    <w:rsid w:val="0075593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5593D"/>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de.wikipedia.org/wiki/H-_und_P-S%C3%A4tze" TargetMode="Externa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H-_und_P-S%C3%A4tze"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de.wikipedia.org/wiki/H-_und_P-S%C3%A4tze"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2016-08-09T10:42:00Z</dcterms:created>
  <dcterms:modified xsi:type="dcterms:W3CDTF">2016-08-09T10:42:00Z</dcterms:modified>
</cp:coreProperties>
</file>