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A49" w:rsidRPr="008F798B" w:rsidRDefault="005E5A49" w:rsidP="005E5A49">
      <w:pPr>
        <w:pStyle w:val="berschrift2"/>
        <w:numPr>
          <w:ilvl w:val="0"/>
          <w:numId w:val="0"/>
        </w:numPr>
        <w:rPr>
          <w:color w:val="auto"/>
        </w:rPr>
      </w:pPr>
      <w:bookmarkStart w:id="0" w:name="_Toc457873018"/>
      <w:r>
        <w:rPr>
          <w:noProof/>
          <w:lang w:eastAsia="de-DE"/>
        </w:rPr>
        <mc:AlternateContent>
          <mc:Choice Requires="wps">
            <w:drawing>
              <wp:anchor distT="0" distB="0" distL="114300" distR="114300" simplePos="0" relativeHeight="251659264" behindDoc="0" locked="0" layoutInCell="1" allowOverlap="1" wp14:anchorId="2034977B" wp14:editId="1CA40F12">
                <wp:simplePos x="0" y="0"/>
                <wp:positionH relativeFrom="column">
                  <wp:posOffset>-61595</wp:posOffset>
                </wp:positionH>
                <wp:positionV relativeFrom="paragraph">
                  <wp:posOffset>471805</wp:posOffset>
                </wp:positionV>
                <wp:extent cx="5873115" cy="1282700"/>
                <wp:effectExtent l="0" t="0" r="13335" b="12700"/>
                <wp:wrapSquare wrapText="bothSides"/>
                <wp:docPr id="4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27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5A49" w:rsidRPr="00F31EBF" w:rsidRDefault="005E5A49" w:rsidP="005E5A49">
                            <w:pPr>
                              <w:rPr>
                                <w:color w:val="auto"/>
                              </w:rPr>
                            </w:pPr>
                            <w:r>
                              <w:rPr>
                                <w:color w:val="auto"/>
                              </w:rPr>
                              <w:t xml:space="preserve">In diesem Versuch kann mit dem Vorwissen der Ionenbildung von Salzen in Lösungen eine parallele gezogen werden zum Säure-Base-Konzept von Arrhenius und </w:t>
                            </w:r>
                            <w:proofErr w:type="spellStart"/>
                            <w:r>
                              <w:rPr>
                                <w:color w:val="auto"/>
                              </w:rPr>
                              <w:t>Brønsted</w:t>
                            </w:r>
                            <w:proofErr w:type="spellEnd"/>
                            <w:r>
                              <w:rPr>
                                <w:color w:val="auto"/>
                              </w:rPr>
                              <w:t>. Aus Natriumchlorid wird mit Schwefelsäure Chlorwasserstoffgas hergestellt, das mit Wasser zur Salzsäurelösung reagiert. Die dissoziierten Ionen können über die Leitfähigkeitsmessung der Lösung nachgewiesen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34977B" id="_x0000_t202" coordsize="21600,21600" o:spt="202" path="m,l,21600r21600,l21600,xe">
                <v:stroke joinstyle="miter"/>
                <v:path gradientshapeok="t" o:connecttype="rect"/>
              </v:shapetype>
              <v:shape id="Text Box 191" o:spid="_x0000_s1026" type="#_x0000_t202" style="position:absolute;left:0;text-align:left;margin-left:-4.85pt;margin-top:37.15pt;width:462.45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" fillcolor="white [3201]" strokecolor="#4472c4 [3208]" strokeweight="1pt">
                <v:stroke dashstyle="dash"/>
                <v:shadow color="#868686"/>
                <v:textbox>
                  <w:txbxContent>
                    <w:p w:rsidR="005E5A49" w:rsidRPr="00F31EBF" w:rsidRDefault="005E5A49" w:rsidP="005E5A49">
                      <w:pPr>
                        <w:rPr>
                          <w:color w:val="auto"/>
                        </w:rPr>
                      </w:pPr>
                      <w:r>
                        <w:rPr>
                          <w:color w:val="auto"/>
                        </w:rPr>
                        <w:t xml:space="preserve">In diesem Versuch kann mit dem Vorwissen der Ionenbildung von Salzen in Lösungen eine parallele gezogen werden zum Säure-Base-Konzept von Arrhenius und </w:t>
                      </w:r>
                      <w:proofErr w:type="spellStart"/>
                      <w:r>
                        <w:rPr>
                          <w:color w:val="auto"/>
                        </w:rPr>
                        <w:t>Brønsted</w:t>
                      </w:r>
                      <w:proofErr w:type="spellEnd"/>
                      <w:r>
                        <w:rPr>
                          <w:color w:val="auto"/>
                        </w:rPr>
                        <w:t>. Aus Natriumchlorid wird mit Schwefelsäure Chlorwasserstoffgas hergestellt, das mit Wasser zur Salzsäurelösung reagiert. Die dissoziierten Ionen können über die Leitfähigkeitsmessung der Lösung nachgewiesen werden.</w:t>
                      </w:r>
                    </w:p>
                  </w:txbxContent>
                </v:textbox>
                <w10:wrap type="square"/>
              </v:shape>
            </w:pict>
          </mc:Fallback>
        </mc:AlternateContent>
      </w:r>
      <w:r w:rsidRPr="00CC307A">
        <w:rPr>
          <w:color w:val="auto"/>
        </w:rPr>
        <w:t>V2 –</w:t>
      </w:r>
      <w:r>
        <w:rPr>
          <w:color w:val="auto"/>
        </w:rPr>
        <w:t xml:space="preserve"> Vom Kochsalz zur Salzsäure</w:t>
      </w:r>
      <w:bookmarkEnd w:id="0"/>
    </w:p>
    <w:p w:rsidR="005E5A49" w:rsidRDefault="005E5A49" w:rsidP="005E5A49"/>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E5A49" w:rsidRPr="009C5E28" w:rsidTr="005E5A49">
        <w:tc>
          <w:tcPr>
            <w:tcW w:w="9322" w:type="dxa"/>
            <w:gridSpan w:val="9"/>
            <w:shd w:val="clear" w:color="auto" w:fill="4F81BD"/>
            <w:vAlign w:val="center"/>
          </w:tcPr>
          <w:p w:rsidR="005E5A49" w:rsidRPr="00F31EBF" w:rsidRDefault="005E5A49" w:rsidP="005E5A49">
            <w:pPr>
              <w:spacing w:after="0"/>
              <w:jc w:val="center"/>
              <w:rPr>
                <w:b/>
                <w:bCs/>
                <w:color w:val="FFFFFF" w:themeColor="background1"/>
              </w:rPr>
            </w:pPr>
            <w:r w:rsidRPr="00F31EBF">
              <w:rPr>
                <w:b/>
                <w:bCs/>
                <w:color w:val="FFFFFF" w:themeColor="background1"/>
              </w:rPr>
              <w:t>Gefahrenstoffe</w:t>
            </w:r>
          </w:p>
        </w:tc>
      </w:tr>
      <w:tr w:rsidR="005E5A49" w:rsidRPr="009C5E28" w:rsidTr="005E5A49">
        <w:trPr>
          <w:trHeight w:val="437"/>
        </w:trPr>
        <w:tc>
          <w:tcPr>
            <w:tcW w:w="3027" w:type="dxa"/>
            <w:gridSpan w:val="3"/>
            <w:shd w:val="clear" w:color="auto" w:fill="auto"/>
            <w:vAlign w:val="center"/>
          </w:tcPr>
          <w:p w:rsidR="005E5A49" w:rsidRPr="009C5E28" w:rsidRDefault="005E5A49" w:rsidP="005E5A49">
            <w:pPr>
              <w:spacing w:after="0" w:line="276" w:lineRule="auto"/>
              <w:jc w:val="center"/>
              <w:rPr>
                <w:b/>
                <w:bCs/>
              </w:rPr>
            </w:pPr>
            <w:r>
              <w:rPr>
                <w:sz w:val="20"/>
              </w:rPr>
              <w:t>Natriumchlorid</w:t>
            </w:r>
          </w:p>
        </w:tc>
        <w:tc>
          <w:tcPr>
            <w:tcW w:w="3177" w:type="dxa"/>
            <w:gridSpan w:val="3"/>
            <w:shd w:val="clear" w:color="auto" w:fill="auto"/>
            <w:vAlign w:val="center"/>
          </w:tcPr>
          <w:p w:rsidR="005E5A49" w:rsidRPr="009C5E28" w:rsidRDefault="005E5A49" w:rsidP="005E5A49">
            <w:pPr>
              <w:spacing w:after="0"/>
              <w:jc w:val="center"/>
            </w:pPr>
            <w:r w:rsidRPr="009C5E28">
              <w:rPr>
                <w:sz w:val="20"/>
              </w:rPr>
              <w:t xml:space="preserve">H: </w:t>
            </w:r>
            <w:r>
              <w:t>-</w:t>
            </w:r>
          </w:p>
        </w:tc>
        <w:tc>
          <w:tcPr>
            <w:tcW w:w="3118" w:type="dxa"/>
            <w:gridSpan w:val="3"/>
            <w:shd w:val="clear" w:color="auto" w:fill="auto"/>
            <w:vAlign w:val="center"/>
          </w:tcPr>
          <w:p w:rsidR="005E5A49" w:rsidRPr="009C5E28" w:rsidRDefault="005E5A49" w:rsidP="005E5A49">
            <w:pPr>
              <w:spacing w:after="0"/>
              <w:jc w:val="center"/>
            </w:pPr>
            <w:r w:rsidRPr="009C5E28">
              <w:rPr>
                <w:sz w:val="20"/>
              </w:rPr>
              <w:t xml:space="preserve">P: </w:t>
            </w:r>
            <w:r>
              <w:rPr>
                <w:sz w:val="20"/>
              </w:rPr>
              <w:t>-</w:t>
            </w:r>
          </w:p>
        </w:tc>
      </w:tr>
      <w:tr w:rsidR="005E5A49" w:rsidRPr="009C5E28" w:rsidTr="005E5A49">
        <w:trPr>
          <w:trHeight w:val="434"/>
        </w:trPr>
        <w:tc>
          <w:tcPr>
            <w:tcW w:w="3027" w:type="dxa"/>
            <w:gridSpan w:val="3"/>
            <w:shd w:val="clear" w:color="auto" w:fill="auto"/>
            <w:vAlign w:val="center"/>
          </w:tcPr>
          <w:p w:rsidR="005E5A49" w:rsidRPr="005E5A49" w:rsidRDefault="005E5A49" w:rsidP="005E5A49">
            <w:pPr>
              <w:jc w:val="center"/>
              <w:rPr>
                <w:sz w:val="20"/>
                <w:szCs w:val="20"/>
              </w:rPr>
            </w:pPr>
            <w:r w:rsidRPr="005E5A49">
              <w:rPr>
                <w:sz w:val="20"/>
                <w:szCs w:val="20"/>
              </w:rPr>
              <w:t>Schwefelsäure (w = 96 %)</w:t>
            </w:r>
          </w:p>
        </w:tc>
        <w:tc>
          <w:tcPr>
            <w:tcW w:w="3177" w:type="dxa"/>
            <w:gridSpan w:val="3"/>
            <w:shd w:val="clear" w:color="auto" w:fill="auto"/>
            <w:vAlign w:val="center"/>
          </w:tcPr>
          <w:p w:rsidR="005E5A49" w:rsidRPr="005E5A49" w:rsidRDefault="005E5A49" w:rsidP="005E5A49">
            <w:pPr>
              <w:jc w:val="center"/>
              <w:rPr>
                <w:sz w:val="20"/>
                <w:szCs w:val="20"/>
              </w:rPr>
            </w:pPr>
            <w:r w:rsidRPr="005E5A49">
              <w:rPr>
                <w:sz w:val="20"/>
                <w:szCs w:val="20"/>
              </w:rPr>
              <w:t>H: 314-290</w:t>
            </w:r>
          </w:p>
        </w:tc>
        <w:tc>
          <w:tcPr>
            <w:tcW w:w="3118" w:type="dxa"/>
            <w:gridSpan w:val="3"/>
            <w:shd w:val="clear" w:color="auto" w:fill="auto"/>
            <w:vAlign w:val="center"/>
          </w:tcPr>
          <w:p w:rsidR="005E5A49" w:rsidRPr="005E5A49" w:rsidRDefault="005E5A49" w:rsidP="005E5A49">
            <w:pPr>
              <w:jc w:val="center"/>
              <w:rPr>
                <w:color w:val="000000" w:themeColor="text1"/>
                <w:sz w:val="20"/>
                <w:szCs w:val="20"/>
              </w:rPr>
            </w:pPr>
            <w:r w:rsidRPr="005E5A49">
              <w:rPr>
                <w:color w:val="000000" w:themeColor="text1"/>
                <w:sz w:val="20"/>
                <w:szCs w:val="20"/>
              </w:rPr>
              <w:t xml:space="preserve">P: </w:t>
            </w:r>
            <w:hyperlink r:id="rId7" w:anchor="P-S.C3.A4tze" w:tooltip="H- und P-Sätze" w:history="1">
              <w:r w:rsidRPr="005E5A49">
                <w:rPr>
                  <w:rStyle w:val="Hyperlink"/>
                  <w:color w:val="000000" w:themeColor="text1"/>
                  <w:sz w:val="20"/>
                  <w:szCs w:val="20"/>
                  <w:u w:val="none"/>
                </w:rPr>
                <w:t>280</w:t>
              </w:r>
            </w:hyperlink>
            <w:r w:rsidRPr="005E5A49">
              <w:rPr>
                <w:color w:val="000000" w:themeColor="text1"/>
                <w:sz w:val="20"/>
                <w:szCs w:val="20"/>
              </w:rPr>
              <w:t>-</w:t>
            </w:r>
            <w:hyperlink r:id="rId8" w:anchor="P-S.C3.A4tze" w:tooltip="H- und P-Sätze" w:history="1">
              <w:r w:rsidRPr="005E5A49">
                <w:rPr>
                  <w:rStyle w:val="Hyperlink"/>
                  <w:color w:val="000000" w:themeColor="text1"/>
                  <w:sz w:val="20"/>
                  <w:szCs w:val="20"/>
                  <w:u w:val="none"/>
                </w:rPr>
                <w:t>301+330+331</w:t>
              </w:r>
            </w:hyperlink>
            <w:r w:rsidRPr="005E5A49">
              <w:rPr>
                <w:rStyle w:val="Hyperlink"/>
                <w:color w:val="000000" w:themeColor="text1"/>
                <w:sz w:val="20"/>
                <w:szCs w:val="20"/>
                <w:u w:val="none"/>
              </w:rPr>
              <w:t>-</w:t>
            </w:r>
            <w:r w:rsidRPr="005E5A49">
              <w:rPr>
                <w:color w:val="000000" w:themeColor="text1"/>
                <w:sz w:val="20"/>
                <w:szCs w:val="20"/>
              </w:rPr>
              <w:t>305+351+338-309+310</w:t>
            </w:r>
          </w:p>
        </w:tc>
        <w:bookmarkStart w:id="1" w:name="_GoBack"/>
        <w:bookmarkEnd w:id="1"/>
      </w:tr>
      <w:tr w:rsidR="005E5A49" w:rsidRPr="009C5E28" w:rsidTr="005E5A49">
        <w:trPr>
          <w:trHeight w:val="434"/>
        </w:trPr>
        <w:tc>
          <w:tcPr>
            <w:tcW w:w="3027" w:type="dxa"/>
            <w:gridSpan w:val="3"/>
            <w:shd w:val="clear" w:color="auto" w:fill="auto"/>
            <w:vAlign w:val="center"/>
          </w:tcPr>
          <w:p w:rsidR="005E5A49" w:rsidRDefault="005E5A49" w:rsidP="005E5A49">
            <w:pPr>
              <w:spacing w:after="0" w:line="276" w:lineRule="auto"/>
              <w:jc w:val="center"/>
              <w:rPr>
                <w:color w:val="auto"/>
                <w:sz w:val="20"/>
                <w:szCs w:val="20"/>
              </w:rPr>
            </w:pPr>
            <w:r>
              <w:rPr>
                <w:color w:val="auto"/>
                <w:sz w:val="20"/>
                <w:szCs w:val="20"/>
              </w:rPr>
              <w:t>Chlorwasserstoff</w:t>
            </w:r>
          </w:p>
        </w:tc>
        <w:tc>
          <w:tcPr>
            <w:tcW w:w="3177" w:type="dxa"/>
            <w:gridSpan w:val="3"/>
            <w:shd w:val="clear" w:color="auto" w:fill="auto"/>
            <w:vAlign w:val="center"/>
          </w:tcPr>
          <w:p w:rsidR="005E5A49" w:rsidRPr="009C5E28" w:rsidRDefault="005E5A49" w:rsidP="005E5A49">
            <w:pPr>
              <w:pStyle w:val="Beschriftung"/>
              <w:spacing w:after="0"/>
              <w:jc w:val="center"/>
              <w:rPr>
                <w:sz w:val="20"/>
              </w:rPr>
            </w:pPr>
            <w:r>
              <w:rPr>
                <w:sz w:val="20"/>
              </w:rPr>
              <w:t>H: 331-314-328</w:t>
            </w:r>
          </w:p>
        </w:tc>
        <w:tc>
          <w:tcPr>
            <w:tcW w:w="3118" w:type="dxa"/>
            <w:gridSpan w:val="3"/>
            <w:shd w:val="clear" w:color="auto" w:fill="auto"/>
            <w:vAlign w:val="center"/>
          </w:tcPr>
          <w:p w:rsidR="005E5A49" w:rsidRPr="009C5E28" w:rsidRDefault="005E5A49" w:rsidP="005E5A49">
            <w:pPr>
              <w:pStyle w:val="Beschriftung"/>
              <w:spacing w:after="0"/>
              <w:jc w:val="center"/>
              <w:rPr>
                <w:sz w:val="20"/>
              </w:rPr>
            </w:pPr>
            <w:r>
              <w:rPr>
                <w:sz w:val="20"/>
              </w:rPr>
              <w:t>P: 260-280-304+340-303+361+353-305+351+338-315-405-403</w:t>
            </w:r>
          </w:p>
        </w:tc>
      </w:tr>
      <w:tr w:rsidR="005E5A49" w:rsidRPr="009C5E28" w:rsidTr="005E5A49">
        <w:trPr>
          <w:trHeight w:val="434"/>
        </w:trPr>
        <w:tc>
          <w:tcPr>
            <w:tcW w:w="3027" w:type="dxa"/>
            <w:gridSpan w:val="3"/>
            <w:shd w:val="clear" w:color="auto" w:fill="auto"/>
            <w:vAlign w:val="center"/>
          </w:tcPr>
          <w:p w:rsidR="005E5A49" w:rsidRDefault="005E5A49" w:rsidP="005E5A49">
            <w:pPr>
              <w:spacing w:after="0" w:line="276" w:lineRule="auto"/>
              <w:jc w:val="center"/>
              <w:rPr>
                <w:color w:val="auto"/>
                <w:sz w:val="20"/>
                <w:szCs w:val="20"/>
              </w:rPr>
            </w:pPr>
            <w:r>
              <w:rPr>
                <w:color w:val="auto"/>
                <w:sz w:val="20"/>
                <w:szCs w:val="20"/>
              </w:rPr>
              <w:t>Natriumhydrogensulfat</w:t>
            </w:r>
          </w:p>
        </w:tc>
        <w:tc>
          <w:tcPr>
            <w:tcW w:w="3177" w:type="dxa"/>
            <w:gridSpan w:val="3"/>
            <w:shd w:val="clear" w:color="auto" w:fill="auto"/>
            <w:vAlign w:val="center"/>
          </w:tcPr>
          <w:p w:rsidR="005E5A49" w:rsidRDefault="005E5A49" w:rsidP="005E5A49">
            <w:pPr>
              <w:pStyle w:val="Beschriftung"/>
              <w:spacing w:after="0"/>
              <w:jc w:val="center"/>
              <w:rPr>
                <w:sz w:val="20"/>
              </w:rPr>
            </w:pPr>
            <w:r>
              <w:rPr>
                <w:sz w:val="20"/>
              </w:rPr>
              <w:t>H: 318</w:t>
            </w:r>
          </w:p>
        </w:tc>
        <w:tc>
          <w:tcPr>
            <w:tcW w:w="3118" w:type="dxa"/>
            <w:gridSpan w:val="3"/>
            <w:shd w:val="clear" w:color="auto" w:fill="auto"/>
            <w:vAlign w:val="center"/>
          </w:tcPr>
          <w:p w:rsidR="005E5A49" w:rsidRDefault="005E5A49" w:rsidP="005E5A49">
            <w:pPr>
              <w:pStyle w:val="Beschriftung"/>
              <w:spacing w:after="0"/>
              <w:jc w:val="center"/>
              <w:rPr>
                <w:sz w:val="20"/>
              </w:rPr>
            </w:pPr>
            <w:r>
              <w:rPr>
                <w:sz w:val="20"/>
              </w:rPr>
              <w:t>P: 262-305+351+338</w:t>
            </w:r>
          </w:p>
        </w:tc>
      </w:tr>
      <w:tr w:rsidR="005E5A49" w:rsidRPr="009C5E28" w:rsidTr="005E5A49">
        <w:trPr>
          <w:trHeight w:val="434"/>
        </w:trPr>
        <w:tc>
          <w:tcPr>
            <w:tcW w:w="3027" w:type="dxa"/>
            <w:gridSpan w:val="3"/>
            <w:shd w:val="clear" w:color="auto" w:fill="auto"/>
            <w:vAlign w:val="center"/>
          </w:tcPr>
          <w:p w:rsidR="005E5A49" w:rsidRDefault="005E5A49" w:rsidP="005E5A49">
            <w:pPr>
              <w:spacing w:after="0" w:line="276" w:lineRule="auto"/>
              <w:jc w:val="center"/>
              <w:rPr>
                <w:color w:val="auto"/>
                <w:sz w:val="20"/>
                <w:szCs w:val="20"/>
              </w:rPr>
            </w:pPr>
            <w:r>
              <w:rPr>
                <w:color w:val="auto"/>
                <w:sz w:val="20"/>
                <w:szCs w:val="20"/>
              </w:rPr>
              <w:t>Universal-Flüssigindikator</w:t>
            </w:r>
          </w:p>
        </w:tc>
        <w:tc>
          <w:tcPr>
            <w:tcW w:w="3177" w:type="dxa"/>
            <w:gridSpan w:val="3"/>
            <w:shd w:val="clear" w:color="auto" w:fill="auto"/>
            <w:vAlign w:val="center"/>
          </w:tcPr>
          <w:p w:rsidR="005E5A49" w:rsidRPr="009C5E28" w:rsidRDefault="005E5A49" w:rsidP="005E5A49">
            <w:pPr>
              <w:pStyle w:val="Beschriftung"/>
              <w:spacing w:after="0"/>
              <w:jc w:val="center"/>
              <w:rPr>
                <w:sz w:val="20"/>
              </w:rPr>
            </w:pPr>
            <w:r>
              <w:rPr>
                <w:sz w:val="20"/>
              </w:rPr>
              <w:t>H: -</w:t>
            </w:r>
          </w:p>
        </w:tc>
        <w:tc>
          <w:tcPr>
            <w:tcW w:w="3118" w:type="dxa"/>
            <w:gridSpan w:val="3"/>
            <w:shd w:val="clear" w:color="auto" w:fill="auto"/>
            <w:vAlign w:val="center"/>
          </w:tcPr>
          <w:p w:rsidR="005E5A49" w:rsidRPr="009C5E28" w:rsidRDefault="005E5A49" w:rsidP="005E5A49">
            <w:pPr>
              <w:pStyle w:val="Beschriftung"/>
              <w:spacing w:after="0"/>
              <w:jc w:val="center"/>
              <w:rPr>
                <w:sz w:val="20"/>
              </w:rPr>
            </w:pPr>
            <w:r>
              <w:rPr>
                <w:sz w:val="20"/>
              </w:rPr>
              <w:t>P: -</w:t>
            </w:r>
          </w:p>
        </w:tc>
      </w:tr>
      <w:tr w:rsidR="005E5A49" w:rsidRPr="009C5E28" w:rsidTr="005E5A49">
        <w:trPr>
          <w:trHeight w:val="434"/>
        </w:trPr>
        <w:tc>
          <w:tcPr>
            <w:tcW w:w="3027" w:type="dxa"/>
            <w:gridSpan w:val="3"/>
            <w:shd w:val="clear" w:color="auto" w:fill="auto"/>
            <w:vAlign w:val="center"/>
          </w:tcPr>
          <w:p w:rsidR="005E5A49" w:rsidRDefault="005E5A49" w:rsidP="005E5A49">
            <w:pPr>
              <w:spacing w:after="0" w:line="276" w:lineRule="auto"/>
              <w:jc w:val="center"/>
              <w:rPr>
                <w:color w:val="auto"/>
                <w:sz w:val="20"/>
                <w:szCs w:val="20"/>
              </w:rPr>
            </w:pPr>
            <w:proofErr w:type="spellStart"/>
            <w:r>
              <w:rPr>
                <w:color w:val="auto"/>
                <w:sz w:val="20"/>
                <w:szCs w:val="20"/>
              </w:rPr>
              <w:t>demin</w:t>
            </w:r>
            <w:proofErr w:type="spellEnd"/>
            <w:r>
              <w:rPr>
                <w:color w:val="auto"/>
                <w:sz w:val="20"/>
                <w:szCs w:val="20"/>
              </w:rPr>
              <w:t>. Wasser</w:t>
            </w:r>
          </w:p>
        </w:tc>
        <w:tc>
          <w:tcPr>
            <w:tcW w:w="3177" w:type="dxa"/>
            <w:gridSpan w:val="3"/>
            <w:shd w:val="clear" w:color="auto" w:fill="auto"/>
            <w:vAlign w:val="center"/>
          </w:tcPr>
          <w:p w:rsidR="005E5A49" w:rsidRPr="009C5E28" w:rsidRDefault="005E5A49" w:rsidP="005E5A49">
            <w:pPr>
              <w:pStyle w:val="Beschriftung"/>
              <w:spacing w:after="0"/>
              <w:jc w:val="center"/>
              <w:rPr>
                <w:sz w:val="20"/>
              </w:rPr>
            </w:pPr>
            <w:r>
              <w:rPr>
                <w:sz w:val="20"/>
              </w:rPr>
              <w:t>H: -</w:t>
            </w:r>
          </w:p>
        </w:tc>
        <w:tc>
          <w:tcPr>
            <w:tcW w:w="3118" w:type="dxa"/>
            <w:gridSpan w:val="3"/>
            <w:shd w:val="clear" w:color="auto" w:fill="auto"/>
            <w:vAlign w:val="center"/>
          </w:tcPr>
          <w:p w:rsidR="005E5A49" w:rsidRPr="009C5E28" w:rsidRDefault="005E5A49" w:rsidP="005E5A49">
            <w:pPr>
              <w:pStyle w:val="Beschriftung"/>
              <w:spacing w:after="0"/>
              <w:jc w:val="center"/>
              <w:rPr>
                <w:sz w:val="20"/>
              </w:rPr>
            </w:pPr>
            <w:r>
              <w:rPr>
                <w:sz w:val="20"/>
              </w:rPr>
              <w:t>H: -</w:t>
            </w:r>
          </w:p>
        </w:tc>
      </w:tr>
      <w:tr w:rsidR="005E5A49" w:rsidRPr="009C5E28" w:rsidTr="005E5A49">
        <w:tc>
          <w:tcPr>
            <w:tcW w:w="1009" w:type="dxa"/>
            <w:shd w:val="clear" w:color="auto" w:fill="auto"/>
            <w:vAlign w:val="center"/>
          </w:tcPr>
          <w:p w:rsidR="005E5A49" w:rsidRPr="009C5E28" w:rsidRDefault="005E5A49" w:rsidP="005E5A49">
            <w:pPr>
              <w:spacing w:after="0"/>
              <w:jc w:val="center"/>
              <w:rPr>
                <w:b/>
                <w:bCs/>
              </w:rPr>
            </w:pPr>
            <w:r>
              <w:rPr>
                <w:b/>
                <w:noProof/>
                <w:lang w:eastAsia="de-DE"/>
              </w:rPr>
              <w:drawing>
                <wp:inline distT="0" distB="0" distL="0" distR="0" wp14:anchorId="5CE2E0A8" wp14:editId="06D172F0">
                  <wp:extent cx="504190" cy="5041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5E5A49" w:rsidRPr="009C5E28" w:rsidRDefault="005E5A49" w:rsidP="005E5A49">
            <w:pPr>
              <w:spacing w:after="0"/>
              <w:jc w:val="center"/>
            </w:pPr>
            <w:r>
              <w:rPr>
                <w:noProof/>
                <w:lang w:eastAsia="de-DE"/>
              </w:rPr>
              <w:drawing>
                <wp:inline distT="0" distB="0" distL="0" distR="0" wp14:anchorId="2C3315DD" wp14:editId="3EDA8D5C">
                  <wp:extent cx="504190" cy="5041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5E5A49" w:rsidRPr="009C5E28" w:rsidRDefault="005E5A49" w:rsidP="005E5A49">
            <w:pPr>
              <w:spacing w:after="0"/>
              <w:jc w:val="center"/>
            </w:pPr>
            <w:r>
              <w:rPr>
                <w:noProof/>
                <w:lang w:eastAsia="de-DE"/>
              </w:rPr>
              <w:drawing>
                <wp:inline distT="0" distB="0" distL="0" distR="0" wp14:anchorId="616DE699" wp14:editId="5034762A">
                  <wp:extent cx="501650" cy="501650"/>
                  <wp:effectExtent l="0" t="0" r="0" b="0"/>
                  <wp:docPr id="28" name="Bild 2"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nnb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5E5A49" w:rsidRPr="009C5E28" w:rsidRDefault="005E5A49" w:rsidP="005E5A49">
            <w:pPr>
              <w:spacing w:after="0"/>
              <w:jc w:val="center"/>
            </w:pPr>
            <w:r>
              <w:rPr>
                <w:noProof/>
                <w:lang w:eastAsia="de-DE"/>
              </w:rPr>
              <w:drawing>
                <wp:inline distT="0" distB="0" distL="0" distR="0" wp14:anchorId="07A60965" wp14:editId="07C31CE5">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5E5A49" w:rsidRPr="009C5E28" w:rsidRDefault="005E5A49" w:rsidP="005E5A49">
            <w:pPr>
              <w:spacing w:after="0"/>
              <w:jc w:val="center"/>
            </w:pPr>
            <w:r>
              <w:rPr>
                <w:noProof/>
                <w:lang w:eastAsia="de-DE"/>
              </w:rPr>
              <w:drawing>
                <wp:inline distT="0" distB="0" distL="0" distR="0" wp14:anchorId="675BA39D" wp14:editId="41A0BCBD">
                  <wp:extent cx="612140" cy="612140"/>
                  <wp:effectExtent l="0" t="0" r="0" b="0"/>
                  <wp:docPr id="72" name="Grafik 72"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sflasch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tc>
        <w:tc>
          <w:tcPr>
            <w:tcW w:w="993" w:type="dxa"/>
            <w:shd w:val="clear" w:color="auto" w:fill="auto"/>
            <w:vAlign w:val="center"/>
          </w:tcPr>
          <w:p w:rsidR="005E5A49" w:rsidRPr="009C5E28" w:rsidRDefault="005E5A49" w:rsidP="005E5A49">
            <w:pPr>
              <w:spacing w:after="0"/>
              <w:jc w:val="center"/>
            </w:pPr>
            <w:r>
              <w:rPr>
                <w:noProof/>
                <w:lang w:eastAsia="de-DE"/>
              </w:rPr>
              <w:drawing>
                <wp:inline distT="0" distB="0" distL="0" distR="0" wp14:anchorId="63382F51" wp14:editId="7D7C241E">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5E5A49" w:rsidRPr="009C5E28" w:rsidRDefault="005E5A49" w:rsidP="005E5A49">
            <w:pPr>
              <w:spacing w:after="0"/>
              <w:jc w:val="center"/>
            </w:pPr>
            <w:r>
              <w:rPr>
                <w:noProof/>
                <w:lang w:eastAsia="de-DE"/>
              </w:rPr>
              <w:drawing>
                <wp:inline distT="0" distB="0" distL="0" distR="0" wp14:anchorId="194156BD" wp14:editId="7AA9561E">
                  <wp:extent cx="478155" cy="478155"/>
                  <wp:effectExtent l="0" t="0" r="0" b="0"/>
                  <wp:docPr id="71" name="Grafik 71" descr="Gif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fti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tc>
        <w:tc>
          <w:tcPr>
            <w:tcW w:w="1009" w:type="dxa"/>
            <w:shd w:val="clear" w:color="auto" w:fill="auto"/>
            <w:vAlign w:val="center"/>
          </w:tcPr>
          <w:p w:rsidR="005E5A49" w:rsidRPr="009C5E28" w:rsidRDefault="005E5A49" w:rsidP="005E5A49">
            <w:pPr>
              <w:spacing w:after="0"/>
              <w:jc w:val="center"/>
            </w:pPr>
            <w:r>
              <w:rPr>
                <w:noProof/>
                <w:lang w:eastAsia="de-DE"/>
              </w:rPr>
              <w:drawing>
                <wp:inline distT="0" distB="0" distL="0" distR="0" wp14:anchorId="1E82901B" wp14:editId="11DF235E">
                  <wp:extent cx="511175" cy="511175"/>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5E5A49" w:rsidRPr="009C5E28" w:rsidRDefault="005E5A49" w:rsidP="005E5A49">
            <w:pPr>
              <w:spacing w:after="0"/>
              <w:jc w:val="center"/>
            </w:pPr>
            <w:r>
              <w:rPr>
                <w:noProof/>
                <w:lang w:eastAsia="de-DE"/>
              </w:rPr>
              <w:drawing>
                <wp:inline distT="0" distB="0" distL="0" distR="0" wp14:anchorId="385C9288" wp14:editId="526E4CE3">
                  <wp:extent cx="584200" cy="584200"/>
                  <wp:effectExtent l="0" t="0" r="0" b="0"/>
                  <wp:docPr id="24" name="Grafik 24"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mweltgefah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r>
    </w:tbl>
    <w:p w:rsidR="005E5A49" w:rsidRDefault="005E5A49" w:rsidP="005E5A49">
      <w:pPr>
        <w:tabs>
          <w:tab w:val="left" w:pos="1701"/>
          <w:tab w:val="left" w:pos="1985"/>
        </w:tabs>
        <w:ind w:left="1980" w:hanging="1980"/>
      </w:pPr>
    </w:p>
    <w:p w:rsidR="005E5A49" w:rsidRDefault="005E5A49" w:rsidP="005E5A49">
      <w:pPr>
        <w:tabs>
          <w:tab w:val="left" w:pos="1701"/>
          <w:tab w:val="left" w:pos="1985"/>
        </w:tabs>
        <w:ind w:left="1980" w:hanging="1980"/>
      </w:pPr>
      <w:r>
        <w:t xml:space="preserve">Materialien: </w:t>
      </w:r>
      <w:r>
        <w:tab/>
      </w:r>
      <w:r>
        <w:tab/>
        <w:t>Stativmaterial, Reagenzglas mit Olive, Septum, Einmalspritze (12 mL), Kanüle, PVC-Schlauch, Trichter, Becherglas (1 L), Magnetrührer, Rührfisch, Leitfähigkeitsprüfer, Spannungsquelle, 2 Multimeter, Kabel</w:t>
      </w:r>
    </w:p>
    <w:p w:rsidR="005E5A49" w:rsidRDefault="005E5A49" w:rsidP="005E5A49">
      <w:pPr>
        <w:tabs>
          <w:tab w:val="left" w:pos="1701"/>
          <w:tab w:val="left" w:pos="1985"/>
        </w:tabs>
        <w:ind w:left="1980" w:hanging="1980"/>
      </w:pPr>
      <w:r>
        <w:rPr>
          <w:noProof/>
          <w:lang w:eastAsia="de-DE"/>
        </w:rPr>
        <w:drawing>
          <wp:anchor distT="0" distB="0" distL="114300" distR="114300" simplePos="0" relativeHeight="251661312" behindDoc="0" locked="0" layoutInCell="1" allowOverlap="1" wp14:anchorId="535B2E5C" wp14:editId="6C0E6BC4">
            <wp:simplePos x="0" y="0"/>
            <wp:positionH relativeFrom="column">
              <wp:posOffset>1194435</wp:posOffset>
            </wp:positionH>
            <wp:positionV relativeFrom="paragraph">
              <wp:posOffset>309245</wp:posOffset>
            </wp:positionV>
            <wp:extent cx="4556760" cy="2160270"/>
            <wp:effectExtent l="0" t="0" r="0" b="0"/>
            <wp:wrapNone/>
            <wp:docPr id="73" name="Grafik 73" descr="NaCl zu H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Cl zu HC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6760" cy="2160270"/>
                    </a:xfrm>
                    <a:prstGeom prst="rect">
                      <a:avLst/>
                    </a:prstGeom>
                    <a:noFill/>
                  </pic:spPr>
                </pic:pic>
              </a:graphicData>
            </a:graphic>
            <wp14:sizeRelH relativeFrom="page">
              <wp14:pctWidth>0</wp14:pctWidth>
            </wp14:sizeRelH>
            <wp14:sizeRelV relativeFrom="page">
              <wp14:pctHeight>0</wp14:pctHeight>
            </wp14:sizeRelV>
          </wp:anchor>
        </w:drawing>
      </w:r>
      <w:r>
        <w:t>Chemikalien:</w:t>
      </w:r>
      <w:r>
        <w:tab/>
      </w:r>
      <w:r>
        <w:tab/>
        <w:t xml:space="preserve">Natriumchlorid, Schwefelsäure, </w:t>
      </w:r>
      <w:proofErr w:type="spellStart"/>
      <w:r>
        <w:t>demin</w:t>
      </w:r>
      <w:proofErr w:type="spellEnd"/>
      <w:r>
        <w:t>. Wasser, Universal-Flüssigindikator</w:t>
      </w:r>
    </w:p>
    <w:p w:rsidR="005E5A49" w:rsidRDefault="005E5A49" w:rsidP="005E5A49">
      <w:pPr>
        <w:tabs>
          <w:tab w:val="left" w:pos="1701"/>
          <w:tab w:val="left" w:pos="1985"/>
        </w:tabs>
        <w:ind w:left="1980" w:hanging="1980"/>
        <w:rPr>
          <w:highlight w:val="yellow"/>
        </w:rPr>
      </w:pPr>
      <w:r>
        <w:t>Aufbau:</w:t>
      </w:r>
      <w:r>
        <w:tab/>
      </w:r>
      <w:r>
        <w:tab/>
      </w:r>
    </w:p>
    <w:p w:rsidR="005E5A49" w:rsidRDefault="005E5A49" w:rsidP="005E5A49">
      <w:pPr>
        <w:tabs>
          <w:tab w:val="left" w:pos="1701"/>
          <w:tab w:val="left" w:pos="1985"/>
        </w:tabs>
        <w:ind w:left="1980" w:hanging="1980"/>
      </w:pPr>
    </w:p>
    <w:p w:rsidR="005E5A49" w:rsidRDefault="005E5A49" w:rsidP="005E5A49">
      <w:pPr>
        <w:spacing w:line="276" w:lineRule="auto"/>
        <w:jc w:val="left"/>
      </w:pPr>
      <w:r>
        <w:rPr>
          <w:noProof/>
          <w:lang w:eastAsia="de-DE"/>
        </w:rPr>
        <mc:AlternateContent>
          <mc:Choice Requires="wps">
            <w:drawing>
              <wp:anchor distT="0" distB="0" distL="114300" distR="114300" simplePos="0" relativeHeight="251660288" behindDoc="0" locked="0" layoutInCell="1" allowOverlap="1" wp14:anchorId="6C88865D" wp14:editId="4C979F30">
                <wp:simplePos x="0" y="0"/>
                <wp:positionH relativeFrom="margin">
                  <wp:posOffset>1169670</wp:posOffset>
                </wp:positionH>
                <wp:positionV relativeFrom="paragraph">
                  <wp:posOffset>1532890</wp:posOffset>
                </wp:positionV>
                <wp:extent cx="4588510" cy="635"/>
                <wp:effectExtent l="0" t="0" r="2540" b="5715"/>
                <wp:wrapNone/>
                <wp:docPr id="15" name="Textfeld 15"/>
                <wp:cNvGraphicFramePr/>
                <a:graphic xmlns:a="http://schemas.openxmlformats.org/drawingml/2006/main">
                  <a:graphicData uri="http://schemas.microsoft.com/office/word/2010/wordprocessingShape">
                    <wps:wsp>
                      <wps:cNvSpPr txBox="1"/>
                      <wps:spPr>
                        <a:xfrm>
                          <a:off x="0" y="0"/>
                          <a:ext cx="4588510" cy="635"/>
                        </a:xfrm>
                        <a:prstGeom prst="rect">
                          <a:avLst/>
                        </a:prstGeom>
                        <a:solidFill>
                          <a:prstClr val="white"/>
                        </a:solidFill>
                        <a:ln>
                          <a:noFill/>
                        </a:ln>
                      </wps:spPr>
                      <wps:txbx>
                        <w:txbxContent>
                          <w:p w:rsidR="005E5A49" w:rsidRPr="006C2D66" w:rsidRDefault="005E5A49" w:rsidP="005E5A49">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2</w:t>
                            </w:r>
                            <w:r>
                              <w:rPr>
                                <w:noProof/>
                              </w:rPr>
                              <w:fldChar w:fldCharType="end"/>
                            </w:r>
                            <w:r>
                              <w:t>: Aufbau des Versuches V2 – Vom Kochsalz zur Salzsäure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88865D" id="Textfeld 15" o:spid="_x0000_s1027" type="#_x0000_t202" style="position:absolute;margin-left:92.1pt;margin-top:120.7pt;width:361.3pt;height:.0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" stroked="f">
                <v:textbox style="mso-fit-shape-to-text:t" inset="0,0,0,0">
                  <w:txbxContent>
                    <w:p w:rsidR="005E5A49" w:rsidRPr="006C2D66" w:rsidRDefault="005E5A49" w:rsidP="005E5A49">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2</w:t>
                      </w:r>
                      <w:r>
                        <w:rPr>
                          <w:noProof/>
                        </w:rPr>
                        <w:fldChar w:fldCharType="end"/>
                      </w:r>
                      <w:r>
                        <w:t>: Aufbau des Versuches V2 – Vom Kochsalz zur Salzsäure</w:t>
                      </w:r>
                    </w:p>
                  </w:txbxContent>
                </v:textbox>
                <w10:wrap anchorx="margin"/>
              </v:shape>
            </w:pict>
          </mc:Fallback>
        </mc:AlternateContent>
      </w:r>
      <w:r>
        <w:br w:type="page"/>
      </w:r>
    </w:p>
    <w:p w:rsidR="005E5A49" w:rsidRDefault="005E5A49" w:rsidP="005E5A49">
      <w:pPr>
        <w:tabs>
          <w:tab w:val="left" w:pos="1701"/>
          <w:tab w:val="left" w:pos="1985"/>
        </w:tabs>
        <w:ind w:left="1980" w:hanging="1980"/>
      </w:pPr>
      <w:r>
        <w:lastRenderedPageBreak/>
        <w:t>Durchführung:</w:t>
      </w:r>
      <w:r>
        <w:tab/>
      </w:r>
      <w:r>
        <w:tab/>
        <w:t xml:space="preserve">Der Leitfähigkeitsprüfer wird über die Kabel mit dem Anschluss für 6 V Wechselspannung der Spannungsquelle verbunden. Dazu werden ein Multimeter zur Spannungsmessung parallelgeschaltet und ein Multimeter zur Messung der Stromstärke in Reihe. Das Becherglas wird mit 500 mL </w:t>
      </w:r>
      <w:proofErr w:type="spellStart"/>
      <w:r>
        <w:t>demin</w:t>
      </w:r>
      <w:proofErr w:type="spellEnd"/>
      <w:r>
        <w:t xml:space="preserve">. Wasser gefüllt, und mit einem Rührfisch versehen auf den Magnetrührer gestellt. Es wird die Leitfähigkeit des Wassers gemessen. Dann werden unter langsamem Rühren 0,5 g Natriumchlorid in dem Wasser gelöst, etwas Universalindikator dazu getropft und erneut die Leitfähigkeit gemessen. </w:t>
      </w:r>
    </w:p>
    <w:p w:rsidR="005E5A49" w:rsidRDefault="005E5A49" w:rsidP="005E5A49">
      <w:pPr>
        <w:tabs>
          <w:tab w:val="left" w:pos="1701"/>
          <w:tab w:val="left" w:pos="1985"/>
        </w:tabs>
        <w:ind w:left="1980" w:hanging="1980"/>
      </w:pPr>
      <w:r>
        <w:tab/>
      </w:r>
      <w:r>
        <w:tab/>
        <w:t xml:space="preserve">Das Becherglas wird entleert und erneut mit 500 mL </w:t>
      </w:r>
      <w:proofErr w:type="spellStart"/>
      <w:r>
        <w:t>demin</w:t>
      </w:r>
      <w:proofErr w:type="spellEnd"/>
      <w:r>
        <w:t xml:space="preserve">. Wasser gefüllt und mit Rührfisch auf dem noch laufenden Magnetrührer platziert. Das Reagenzglas wird von der Olive ausgehend über den PVC-Schlauch mit dem Trichter verbunden und so eingespannt, dass der Trichter mit der Oberseite nach unten knapp über der Wasseroberfläche des Becherglases hängt. Der Leitfähigkeitsprüfer wird neben dem Trichter in das Becherglas gestellt. In das Reagenzglas werden 0,5 g Natriumchlorid gegeben, das Septum daraufgesetzt und eine Kanüle hindurchgestochen. Die Einmalspritze wird mit 2 mL konzentrierter Schwefelsäure gefüllt und auf die Kanüle gesteckt. Es werden ein paar Tropfen Indikator in das </w:t>
      </w:r>
      <w:proofErr w:type="spellStart"/>
      <w:r>
        <w:t>demin</w:t>
      </w:r>
      <w:proofErr w:type="spellEnd"/>
      <w:r>
        <w:t>. Wasser gegeben. Nun wird Tropfenweise Schwefelsäure aus der Spritze in das Reagenzglas zum Natriumchlorid gegeben, sodass die aufschäumende Reaktion nicht zu stark abläuft. Einige Minuten nach Abklingen der Reaktion wird die Leitfähigkeit im Becherglas gemessen.</w:t>
      </w:r>
    </w:p>
    <w:p w:rsidR="005E5A49" w:rsidRDefault="005E5A49" w:rsidP="005E5A49">
      <w:pPr>
        <w:tabs>
          <w:tab w:val="left" w:pos="1701"/>
          <w:tab w:val="left" w:pos="1985"/>
        </w:tabs>
        <w:ind w:left="1980" w:hanging="1980"/>
        <w:rPr>
          <w:rFonts w:eastAsiaTheme="minorEastAsia"/>
        </w:rPr>
      </w:pPr>
      <w:r>
        <w:t>Beobachtung:</w:t>
      </w:r>
      <w:r>
        <w:tab/>
      </w:r>
      <w:r>
        <w:tab/>
        <w:t xml:space="preserve">Die Messwerte in </w:t>
      </w:r>
      <w:proofErr w:type="spellStart"/>
      <w:r>
        <w:t>demin</w:t>
      </w:r>
      <w:proofErr w:type="spellEnd"/>
      <w:r>
        <w:t xml:space="preserve">. Wasser sind </w:t>
      </w:r>
      <m:oMath>
        <m:r>
          <w:rPr>
            <w:rFonts w:ascii="Cambria Math" w:hAnsi="Cambria Math"/>
          </w:rPr>
          <m:t>U=6,43 </m:t>
        </m:r>
        <m:r>
          <m:rPr>
            <m:sty m:val="p"/>
          </m:rPr>
          <w:rPr>
            <w:rFonts w:ascii="Cambria Math" w:hAnsi="Cambria Math"/>
          </w:rPr>
          <m:t>V</m:t>
        </m:r>
      </m:oMath>
      <w:r>
        <w:rPr>
          <w:rFonts w:eastAsiaTheme="minorEastAsia"/>
        </w:rPr>
        <w:t xml:space="preserve"> und </w:t>
      </w:r>
      <m:oMath>
        <m:r>
          <w:rPr>
            <w:rFonts w:ascii="Cambria Math" w:hAnsi="Cambria Math"/>
          </w:rPr>
          <m:t>I=0,03 </m:t>
        </m:r>
        <m:r>
          <m:rPr>
            <m:sty m:val="p"/>
          </m:rPr>
          <w:rPr>
            <w:rFonts w:ascii="Cambria Math" w:hAnsi="Cambria Math"/>
          </w:rPr>
          <m:t>mA</m:t>
        </m:r>
      </m:oMath>
      <w:r>
        <w:rPr>
          <w:rFonts w:eastAsiaTheme="minorEastAsia"/>
        </w:rPr>
        <w:t>.</w:t>
      </w:r>
      <w:r>
        <w:t xml:space="preserve"> Wird Natriumchlorid in das Wasser gegeben bleibt die Lösung farblos. Die gemessenen Werte für Spannung und Stromstärke betragen </w:t>
      </w:r>
      <m:oMath>
        <m:r>
          <w:rPr>
            <w:rFonts w:ascii="Cambria Math" w:hAnsi="Cambria Math"/>
          </w:rPr>
          <m:t>U=6,43 </m:t>
        </m:r>
        <m:r>
          <m:rPr>
            <m:sty m:val="p"/>
          </m:rPr>
          <w:rPr>
            <w:rFonts w:ascii="Cambria Math" w:hAnsi="Cambria Math"/>
          </w:rPr>
          <m:t>V</m:t>
        </m:r>
      </m:oMath>
      <w:r>
        <w:rPr>
          <w:rFonts w:eastAsiaTheme="minorEastAsia"/>
        </w:rPr>
        <w:t xml:space="preserve"> und </w:t>
      </w:r>
      <m:oMath>
        <m:r>
          <w:rPr>
            <w:rFonts w:ascii="Cambria Math" w:hAnsi="Cambria Math"/>
          </w:rPr>
          <m:t>I=7,5 </m:t>
        </m:r>
        <m:r>
          <m:rPr>
            <m:sty m:val="p"/>
          </m:rPr>
          <w:rPr>
            <w:rFonts w:ascii="Cambria Math" w:hAnsi="Cambria Math"/>
          </w:rPr>
          <m:t>mA</m:t>
        </m:r>
      </m:oMath>
      <w:r>
        <w:rPr>
          <w:rFonts w:eastAsiaTheme="minorEastAsia"/>
        </w:rPr>
        <w:t>.</w:t>
      </w:r>
    </w:p>
    <w:p w:rsidR="005E5A49" w:rsidRDefault="005E5A49" w:rsidP="005E5A49">
      <w:pPr>
        <w:tabs>
          <w:tab w:val="left" w:pos="1701"/>
          <w:tab w:val="left" w:pos="1985"/>
        </w:tabs>
        <w:ind w:left="1980" w:hanging="1980"/>
      </w:pPr>
      <w:r>
        <w:rPr>
          <w:rFonts w:eastAsiaTheme="minorEastAsia"/>
        </w:rPr>
        <w:tab/>
      </w:r>
      <w:r>
        <w:rPr>
          <w:rFonts w:eastAsiaTheme="minorEastAsia"/>
        </w:rPr>
        <w:tab/>
        <w:t xml:space="preserve">Bei der Zugabe von Schwefelsäure zu Natriumchlorid ist eine starke Gasentwicklung zu beobachten und es bleibt ein weißer Niederschlag zurück, der sich bei weiterer Zugabe von Schwefelsäure (und Wasser bei der Entsorgung) wieder löst. Die Lösung im Becherglas beginnt sich rot zu färben. Die Stromstärke steigt auf </w:t>
      </w:r>
      <m:oMath>
        <m:r>
          <w:rPr>
            <w:rFonts w:ascii="Cambria Math" w:hAnsi="Cambria Math"/>
          </w:rPr>
          <m:t>I=9,3 </m:t>
        </m:r>
        <m:r>
          <m:rPr>
            <m:sty m:val="p"/>
          </m:rPr>
          <w:rPr>
            <w:rFonts w:ascii="Cambria Math" w:hAnsi="Cambria Math"/>
          </w:rPr>
          <m:t>mA</m:t>
        </m:r>
      </m:oMath>
      <w:r>
        <w:rPr>
          <w:rFonts w:eastAsiaTheme="minorEastAsia"/>
        </w:rPr>
        <w:t xml:space="preserve">, während die Spannung auch </w:t>
      </w:r>
      <m:oMath>
        <m:r>
          <w:rPr>
            <w:rFonts w:ascii="Cambria Math" w:hAnsi="Cambria Math"/>
          </w:rPr>
          <m:t>U=6,43 </m:t>
        </m:r>
        <m:r>
          <m:rPr>
            <m:sty m:val="p"/>
          </m:rPr>
          <w:rPr>
            <w:rFonts w:ascii="Cambria Math" w:hAnsi="Cambria Math"/>
          </w:rPr>
          <m:t>V</m:t>
        </m:r>
      </m:oMath>
      <w:r>
        <w:rPr>
          <w:rFonts w:eastAsiaTheme="minorEastAsia"/>
        </w:rPr>
        <w:t xml:space="preserve"> beträgt.</w:t>
      </w:r>
    </w:p>
    <w:p w:rsidR="005E5A49" w:rsidRDefault="005E5A49" w:rsidP="005E5A49">
      <w:pPr>
        <w:tabs>
          <w:tab w:val="left" w:pos="1276"/>
          <w:tab w:val="left" w:pos="1985"/>
        </w:tabs>
        <w:ind w:left="1985" w:hanging="1985"/>
      </w:pPr>
      <w:r>
        <w:t>Deutung:</w:t>
      </w:r>
      <w:r>
        <w:tab/>
      </w:r>
      <w:r>
        <w:tab/>
      </w:r>
      <w:proofErr w:type="spellStart"/>
      <w:r>
        <w:t>Demin</w:t>
      </w:r>
      <w:proofErr w:type="spellEnd"/>
      <w:r>
        <w:t xml:space="preserve">. Wasser leitet den Strom so gut wie nicht, da kaum Ladungsträger in der Lösung vorliegen, die diese transportieren könnten, was die sehr geringe Stromstärke zeigt. Natriumchlorid bildet beim Lösen in Wasser Ionen, die </w:t>
      </w:r>
      <w:r>
        <w:lastRenderedPageBreak/>
        <w:t>Ladung durch die Lösung transportieren und dadurch die Leitfähigkeit erhöhen, weshalb ein Anstieg der Stromstärke in Lösung 1 gemessen wurde.</w:t>
      </w:r>
    </w:p>
    <w:p w:rsidR="005E5A49" w:rsidRDefault="005E5A49" w:rsidP="005E5A49">
      <w:pPr>
        <w:tabs>
          <w:tab w:val="left" w:pos="1276"/>
          <w:tab w:val="left" w:pos="1985"/>
        </w:tabs>
        <w:ind w:left="1985" w:hanging="1985"/>
        <w:jc w:val="center"/>
      </w:pPr>
      <m:oMathPara>
        <m:oMath>
          <m:sSub>
            <m:sSubPr>
              <m:ctrlPr>
                <w:rPr>
                  <w:rFonts w:ascii="Cambria Math" w:eastAsiaTheme="minorEastAsia" w:hAnsi="Cambria Math"/>
                </w:rPr>
              </m:ctrlPr>
            </m:sSubPr>
            <m:e>
              <m:r>
                <m:rPr>
                  <m:sty m:val="p"/>
                </m:rPr>
                <w:rPr>
                  <w:rFonts w:ascii="Cambria Math" w:eastAsiaTheme="minorEastAsia" w:hAnsi="Cambria Math"/>
                </w:rPr>
                <m:t>NaCl</m:t>
              </m:r>
            </m:e>
            <m:sub>
              <m: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s</m:t>
                  </m:r>
                </m:e>
              </m:d>
            </m:sub>
          </m:sSub>
          <m:r>
            <m:rPr>
              <m:sty m:val="p"/>
            </m:rPr>
            <w:rPr>
              <w:rFonts w:ascii="Cambria Math" w:eastAsiaTheme="minorEastAsia" w:hAnsi="Cambria Math"/>
            </w:rPr>
            <m:t xml:space="preserve"> </m:t>
          </m:r>
          <m: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Cl</m:t>
                  </m:r>
                </m:e>
                <m:sup>
                  <m:r>
                    <w:rPr>
                      <w:rFonts w:ascii="Cambria Math" w:hAnsi="Cambria Math"/>
                    </w:rPr>
                    <m:t>-</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Na</m:t>
                  </m:r>
                </m:e>
                <m:sup>
                  <m:r>
                    <w:rPr>
                      <w:rFonts w:ascii="Cambria Math" w:hAnsi="Cambria Math"/>
                    </w:rPr>
                    <m:t>+</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 </m:t>
          </m:r>
        </m:oMath>
      </m:oMathPara>
    </w:p>
    <w:p w:rsidR="005E5A49" w:rsidRDefault="005E5A49" w:rsidP="005E5A49">
      <w:pPr>
        <w:tabs>
          <w:tab w:val="left" w:pos="1276"/>
          <w:tab w:val="left" w:pos="1985"/>
        </w:tabs>
        <w:ind w:left="1985" w:hanging="1985"/>
      </w:pPr>
      <w:r>
        <w:tab/>
      </w:r>
      <w:r>
        <w:tab/>
        <w:t>Im Reagenzglas bildet sich aus Schwefelsäure und Natriumchlorid Chlorwasserstoffgas und das Feststoffgemisch Natriumhydrogensulfat, der sich in Schwefelsäure und Wasser wieder löst:</w:t>
      </w:r>
    </w:p>
    <w:p w:rsidR="005E5A49" w:rsidRDefault="005E5A49" w:rsidP="005E5A49">
      <w:pPr>
        <w:tabs>
          <w:tab w:val="left" w:pos="1276"/>
          <w:tab w:val="left" w:pos="1985"/>
        </w:tabs>
        <w:ind w:left="1985" w:hanging="1985"/>
        <w:jc w:val="center"/>
        <w:rPr>
          <w:rFonts w:eastAsiaTheme="minorEastAsia"/>
        </w:rPr>
      </w:pPr>
      <m:oMathPara>
        <m:oMath>
          <m:r>
            <w:rPr>
              <w:rFonts w:ascii="Cambria Math" w:hAnsi="Cambria Math"/>
            </w:rPr>
            <m:t xml:space="preserve">2 </m:t>
          </m:r>
          <m:sSub>
            <m:sSubPr>
              <m:ctrlPr>
                <w:rPr>
                  <w:rFonts w:ascii="Cambria Math" w:hAnsi="Cambria Math"/>
                  <w:i/>
                </w:rPr>
              </m:ctrlPr>
            </m:sSubPr>
            <m:e>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r>
                <m:rPr>
                  <m:sty m:val="p"/>
                </m:rPr>
                <w:rPr>
                  <w:rFonts w:ascii="Cambria Math" w:hAnsi="Cambria Math"/>
                </w:rPr>
                <m:t xml:space="preserve"> </m:t>
              </m:r>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+3 </m:t>
          </m:r>
          <m:sSub>
            <m:sSubPr>
              <m:ctrlPr>
                <w:rPr>
                  <w:rFonts w:ascii="Cambria Math" w:hAnsi="Cambria Math"/>
                </w:rPr>
              </m:ctrlPr>
            </m:sSubPr>
            <m:e>
              <m:r>
                <m:rPr>
                  <m:sty m:val="p"/>
                </m:rPr>
                <w:rPr>
                  <w:rFonts w:ascii="Cambria Math" w:hAnsi="Cambria Math"/>
                </w:rPr>
                <m:t>NaCl</m:t>
              </m:r>
            </m:e>
            <m:sub>
              <m:r>
                <w:rPr>
                  <w:rFonts w:ascii="Cambria Math" w:hAnsi="Cambria Math"/>
                </w:rPr>
                <m:t xml:space="preserve"> </m:t>
              </m:r>
              <m:d>
                <m:dPr>
                  <m:ctrlPr>
                    <w:rPr>
                      <w:rFonts w:ascii="Cambria Math" w:hAnsi="Cambria Math"/>
                    </w:rPr>
                  </m:ctrlPr>
                </m:dPr>
                <m:e>
                  <m:r>
                    <m:rPr>
                      <m:sty m:val="p"/>
                    </m:rPr>
                    <w:rPr>
                      <w:rFonts w:ascii="Cambria Math" w:hAnsi="Cambria Math"/>
                    </w:rPr>
                    <m:t>s</m:t>
                  </m:r>
                </m:e>
              </m:d>
            </m:sub>
          </m:sSub>
          <m:r>
            <m:rPr>
              <m:sty m:val="p"/>
            </m:rPr>
            <w:rPr>
              <w:rFonts w:ascii="Cambria Math" w:hAnsi="Cambria Math"/>
            </w:rPr>
            <m:t xml:space="preserve"> </m:t>
          </m:r>
          <m:r>
            <w:rPr>
              <w:rFonts w:ascii="Cambria Math" w:hAnsi="Cambria Math"/>
            </w:rPr>
            <m:t xml:space="preserve">→3 </m:t>
          </m:r>
          <m:sSub>
            <m:sSubPr>
              <m:ctrlPr>
                <w:rPr>
                  <w:rFonts w:ascii="Cambria Math" w:hAnsi="Cambria Math"/>
                </w:rPr>
              </m:ctrlPr>
            </m:sSubPr>
            <m:e>
              <m:r>
                <m:rPr>
                  <m:sty m:val="p"/>
                </m:rPr>
                <w:rPr>
                  <w:rFonts w:ascii="Cambria Math" w:hAnsi="Cambria Math"/>
                </w:rPr>
                <m:t xml:space="preserve">HCl </m:t>
              </m:r>
            </m:e>
            <m:sub>
              <m:d>
                <m:dPr>
                  <m:ctrlPr>
                    <w:rPr>
                      <w:rFonts w:ascii="Cambria Math" w:hAnsi="Cambria Math"/>
                    </w:rPr>
                  </m:ctrlPr>
                </m:dPr>
                <m:e>
                  <m:r>
                    <m:rPr>
                      <m:sty m:val="p"/>
                    </m:rPr>
                    <w:rPr>
                      <w:rFonts w:ascii="Cambria Math" w:hAnsi="Cambria Math"/>
                    </w:rPr>
                    <m:t>g</m:t>
                  </m:r>
                </m:e>
              </m:d>
            </m:sub>
          </m:sSub>
          <m:r>
            <m:rPr>
              <m:sty m:val="p"/>
            </m:rPr>
            <w:rPr>
              <w:rFonts w:ascii="Cambria Math" w:hAnsi="Cambria Math"/>
            </w:rPr>
            <m:t>+NaH</m:t>
          </m:r>
          <m:sSub>
            <m:sSubPr>
              <m:ctrlPr>
                <w:rPr>
                  <w:rFonts w:ascii="Cambria Math" w:hAnsi="Cambria Math"/>
                </w:rPr>
              </m:ctrlPr>
            </m:sSubPr>
            <m:e>
              <m:r>
                <m:rPr>
                  <m:sty m:val="p"/>
                </m:rPr>
                <w:rPr>
                  <w:rFonts w:ascii="Cambria Math" w:hAnsi="Cambria Math"/>
                </w:rPr>
                <m:t>SO</m:t>
              </m:r>
            </m:e>
            <m:sub>
              <m:r>
                <m:rPr>
                  <m:sty m:val="p"/>
                </m:rPr>
                <w:rPr>
                  <w:rFonts w:ascii="Cambria Math" w:hAnsi="Cambria Math"/>
                </w:rPr>
                <m:t xml:space="preserve">4 </m:t>
              </m:r>
              <m:d>
                <m:dPr>
                  <m:ctrlPr>
                    <w:rPr>
                      <w:rFonts w:ascii="Cambria Math" w:hAnsi="Cambria Math"/>
                    </w:rPr>
                  </m:ctrlPr>
                </m:dPr>
                <m:e>
                  <m:r>
                    <m:rPr>
                      <m:sty m:val="p"/>
                    </m:rPr>
                    <w:rPr>
                      <w:rFonts w:ascii="Cambria Math" w:hAnsi="Cambria Math"/>
                    </w:rPr>
                    <m:t>s</m:t>
                  </m:r>
                </m:e>
              </m:d>
            </m:sub>
          </m:sSub>
          <m:r>
            <m:rPr>
              <m:sty m:val="p"/>
            </m:rPr>
            <w:rPr>
              <w:rFonts w:ascii="Cambria Math" w:hAnsi="Cambria Math"/>
            </w:rPr>
            <m:t xml:space="preserve"> </m:t>
          </m:r>
        </m:oMath>
      </m:oMathPara>
    </w:p>
    <w:p w:rsidR="005E5A49" w:rsidRDefault="005E5A49" w:rsidP="005E5A49">
      <w:pPr>
        <w:tabs>
          <w:tab w:val="left" w:pos="1276"/>
          <w:tab w:val="left" w:pos="1985"/>
        </w:tabs>
        <w:ind w:left="1985" w:hanging="1985"/>
        <w:rPr>
          <w:rFonts w:eastAsiaTheme="minorEastAsia"/>
        </w:rPr>
      </w:pPr>
      <w:r>
        <w:rPr>
          <w:rFonts w:eastAsiaTheme="minorEastAsia"/>
        </w:rPr>
        <w:tab/>
      </w:r>
      <w:r>
        <w:rPr>
          <w:rFonts w:eastAsiaTheme="minorEastAsia"/>
        </w:rPr>
        <w:tab/>
        <w:t xml:space="preserve">Durch den Überschuss an Schwefelsäure wird das Natriumchlorid komplett umgesetzt. Chlorwasserstoffgas ist sehr hygroskopisch und löst sich daher direkt im Wasser des Becherglases. Dort bilden sich Chlorid- und </w:t>
      </w:r>
      <w:proofErr w:type="spellStart"/>
      <w:r>
        <w:rPr>
          <w:rFonts w:eastAsiaTheme="minorEastAsia"/>
        </w:rPr>
        <w:t>Wasserstoffionen</w:t>
      </w:r>
      <w:proofErr w:type="spellEnd"/>
      <w:r>
        <w:rPr>
          <w:rFonts w:eastAsiaTheme="minorEastAsia"/>
        </w:rPr>
        <w:t xml:space="preserve">, welche mit direkt Wasser zu </w:t>
      </w:r>
      <w:proofErr w:type="spellStart"/>
      <w:r>
        <w:rPr>
          <w:rFonts w:eastAsiaTheme="minorEastAsia"/>
        </w:rPr>
        <w:t>Oxoniumionen</w:t>
      </w:r>
      <w:proofErr w:type="spellEnd"/>
      <w:r>
        <w:rPr>
          <w:rFonts w:eastAsiaTheme="minorEastAsia"/>
        </w:rPr>
        <w:t xml:space="preserve"> regieren. Es entsteht aus 0,5 g Natriumchlorid etwa 0,01 Mol Chlorwasserstoffgas und mit diesem in 500 mL Wasser eine etwa 0,02 M Salzsäure-Lösung.</w:t>
      </w:r>
    </w:p>
    <w:p w:rsidR="005E5A49" w:rsidRDefault="005E5A49" w:rsidP="005E5A49">
      <w:pPr>
        <w:tabs>
          <w:tab w:val="left" w:pos="1276"/>
          <w:tab w:val="left" w:pos="1985"/>
        </w:tabs>
        <w:ind w:left="1985" w:hanging="1985"/>
        <w:jc w:val="center"/>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 xml:space="preserve">HCl </m:t>
              </m:r>
            </m:e>
            <m:sub>
              <m:d>
                <m:dPr>
                  <m:ctrlPr>
                    <w:rPr>
                      <w:rFonts w:ascii="Cambria Math" w:eastAsiaTheme="minorEastAsia" w:hAnsi="Cambria Math"/>
                    </w:rPr>
                  </m:ctrlPr>
                </m:dPr>
                <m:e>
                  <m:r>
                    <m:rPr>
                      <m:sty m:val="p"/>
                    </m:rPr>
                    <w:rPr>
                      <w:rFonts w:ascii="Cambria Math" w:eastAsiaTheme="minorEastAsia" w:hAnsi="Cambria Math"/>
                    </w:rPr>
                    <m:t>g</m:t>
                  </m:r>
                </m:e>
              </m:d>
            </m:sub>
          </m:sSub>
          <m:r>
            <m:rPr>
              <m:sty m:val="p"/>
            </m:rPr>
            <w:rPr>
              <w:rFonts w:ascii="Cambria Math" w:eastAsiaTheme="minorEastAsia" w:hAnsi="Cambria Math"/>
            </w:rPr>
            <m:t xml:space="preserve"> </m:t>
          </m:r>
          <m:r>
            <w:rPr>
              <w:rFonts w:ascii="Cambria Math" w:eastAsiaTheme="minorEastAsia"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 xml:space="preserve">O </m:t>
              </m:r>
            </m:e>
            <m:sub>
              <m:d>
                <m:dPr>
                  <m:ctrlPr>
                    <w:rPr>
                      <w:rFonts w:ascii="Cambria Math" w:hAnsi="Cambria Math"/>
                    </w:rPr>
                  </m:ctrlPr>
                </m:dPr>
                <m:e>
                  <m:r>
                    <m:rPr>
                      <m:sty m:val="p"/>
                    </m:rPr>
                    <w:rPr>
                      <w:rFonts w:ascii="Cambria Math" w:hAnsi="Cambria Math"/>
                    </w:rPr>
                    <m:t>l</m:t>
                  </m:r>
                </m:e>
              </m:d>
            </m:sub>
          </m:sSub>
          <m:r>
            <m:rPr>
              <m:sty m:val="p"/>
            </m:rPr>
            <w:rPr>
              <w:rFonts w:ascii="Cambria Math" w:hAnsi="Cambria Math"/>
            </w:rPr>
            <m:t xml:space="preserve"> </m:t>
          </m:r>
          <m: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Cl</m:t>
                  </m:r>
                </m:e>
                <m:sup>
                  <m:r>
                    <w:rPr>
                      <w:rFonts w:ascii="Cambria Math" w:hAnsi="Cambria Math"/>
                    </w:rPr>
                    <m:t>-</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 +</m:t>
          </m:r>
          <m:sSub>
            <m:sSubPr>
              <m:ctrlPr>
                <w:rPr>
                  <w:rFonts w:ascii="Cambria Math" w:hAnsi="Cambria Math"/>
                </w:rPr>
              </m:ctrlPr>
            </m:sSubPr>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H</m:t>
                      </m:r>
                    </m:e>
                    <m:sub>
                      <m:r>
                        <w:rPr>
                          <w:rFonts w:ascii="Cambria Math" w:hAnsi="Cambria Math"/>
                        </w:rPr>
                        <m:t>3</m:t>
                      </m:r>
                    </m:sub>
                  </m:sSub>
                  <m:r>
                    <m:rPr>
                      <m:sty m:val="p"/>
                    </m:rPr>
                    <w:rPr>
                      <w:rFonts w:ascii="Cambria Math" w:hAnsi="Cambria Math"/>
                    </w:rPr>
                    <m:t>O</m:t>
                  </m:r>
                </m:e>
                <m:sup>
                  <m:r>
                    <w:rPr>
                      <w:rFonts w:ascii="Cambria Math" w:hAnsi="Cambria Math"/>
                    </w:rPr>
                    <m:t>+</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 </m:t>
          </m:r>
        </m:oMath>
      </m:oMathPara>
    </w:p>
    <w:p w:rsidR="005E5A49" w:rsidRDefault="005E5A49" w:rsidP="005E5A49">
      <w:pPr>
        <w:tabs>
          <w:tab w:val="left" w:pos="1276"/>
          <w:tab w:val="left" w:pos="1985"/>
        </w:tabs>
        <w:ind w:left="1985" w:hanging="1985"/>
      </w:pPr>
      <w:r>
        <w:rPr>
          <w:rFonts w:eastAsiaTheme="minorEastAsia"/>
        </w:rPr>
        <w:tab/>
      </w:r>
      <w:r>
        <w:rPr>
          <w:rFonts w:eastAsiaTheme="minorEastAsia"/>
        </w:rPr>
        <w:tab/>
        <w:t xml:space="preserve">Die </w:t>
      </w:r>
      <w:proofErr w:type="spellStart"/>
      <w:r>
        <w:rPr>
          <w:rFonts w:eastAsiaTheme="minorEastAsia"/>
        </w:rPr>
        <w:t>Oxoniumionen</w:t>
      </w:r>
      <w:proofErr w:type="spellEnd"/>
      <w:r>
        <w:rPr>
          <w:rFonts w:eastAsiaTheme="minorEastAsia"/>
        </w:rPr>
        <w:t xml:space="preserve"> senken den pH-Wert der Lösung 2 und rufen die Verfärbung des Indikators hervor. Die gelösten Ionen lassen die Stromstärke ansteigen.</w:t>
      </w:r>
    </w:p>
    <w:p w:rsidR="005E5A49" w:rsidRDefault="005E5A49" w:rsidP="005E5A49">
      <w:pPr>
        <w:tabs>
          <w:tab w:val="left" w:pos="1276"/>
          <w:tab w:val="left" w:pos="1985"/>
        </w:tabs>
        <w:ind w:left="1985" w:hanging="1985"/>
      </w:pPr>
      <w:r>
        <w:tab/>
      </w:r>
      <w:r>
        <w:tab/>
        <w:t xml:space="preserve">Es lässt sich der elektrische Leitwert </w:t>
      </w:r>
      <w:r w:rsidRPr="00F72C49">
        <w:rPr>
          <w:i/>
        </w:rPr>
        <w:t>G</w:t>
      </w:r>
      <w:r>
        <w:rPr>
          <w:rStyle w:val="Funotenzeichen"/>
        </w:rPr>
        <w:footnoteReference w:id="1"/>
      </w:r>
      <w:r>
        <w:t xml:space="preserve"> der beiden Lösungen bestimmen:</w:t>
      </w:r>
    </w:p>
    <w:p w:rsidR="005E5A49" w:rsidRDefault="005E5A49" w:rsidP="005E5A49">
      <w:pPr>
        <w:tabs>
          <w:tab w:val="left" w:pos="1276"/>
          <w:tab w:val="left" w:pos="1985"/>
        </w:tabs>
        <w:ind w:left="1985" w:hanging="1985"/>
        <w:jc w:val="center"/>
        <w:rPr>
          <w:rFonts w:eastAsiaTheme="minorEastAsia"/>
        </w:rPr>
      </w:pPr>
      <m:oMathPara>
        <m:oMath>
          <m:r>
            <w:rPr>
              <w:rFonts w:ascii="Cambria Math" w:hAnsi="Cambria Math"/>
            </w:rPr>
            <m:t>G [</m:t>
          </m:r>
          <m:r>
            <m:rPr>
              <m:sty m:val="p"/>
            </m:rPr>
            <w:rPr>
              <w:rFonts w:ascii="Cambria Math" w:hAnsi="Cambria Math"/>
            </w:rPr>
            <m:t>S</m:t>
          </m:r>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R</m:t>
              </m:r>
              <m:r>
                <m:rPr>
                  <m:sty m:val="p"/>
                </m:rPr>
                <w:rPr>
                  <w:rFonts w:ascii="Cambria Math" w:hAnsi="Cambria Math"/>
                </w:rPr>
                <m:t xml:space="preserve"> [Ω]</m:t>
              </m:r>
            </m:den>
          </m:f>
          <m:r>
            <m:rPr>
              <m:sty m:val="p"/>
            </m:rPr>
            <w:rPr>
              <w:rFonts w:ascii="Cambria Math" w:hAnsi="Cambria Math"/>
            </w:rPr>
            <m:t>=</m:t>
          </m:r>
          <m:f>
            <m:fPr>
              <m:ctrlPr>
                <w:rPr>
                  <w:rFonts w:ascii="Cambria Math" w:hAnsi="Cambria Math"/>
                </w:rPr>
              </m:ctrlPr>
            </m:fPr>
            <m:num>
              <m:r>
                <w:rPr>
                  <w:rFonts w:ascii="Cambria Math" w:hAnsi="Cambria Math"/>
                </w:rPr>
                <m:t>I</m:t>
              </m:r>
              <m:r>
                <m:rPr>
                  <m:sty m:val="p"/>
                </m:rPr>
                <w:rPr>
                  <w:rFonts w:ascii="Cambria Math" w:hAnsi="Cambria Math"/>
                </w:rPr>
                <m:t xml:space="preserve"> [A]</m:t>
              </m:r>
            </m:num>
            <m:den>
              <m:r>
                <w:rPr>
                  <w:rFonts w:ascii="Cambria Math" w:hAnsi="Cambria Math"/>
                </w:rPr>
                <m:t>U</m:t>
              </m:r>
              <m:r>
                <m:rPr>
                  <m:sty m:val="p"/>
                </m:rPr>
                <w:rPr>
                  <w:rFonts w:ascii="Cambria Math" w:hAnsi="Cambria Math"/>
                </w:rPr>
                <m:t xml:space="preserve"> [V]</m:t>
              </m:r>
            </m:den>
          </m:f>
        </m:oMath>
      </m:oMathPara>
    </w:p>
    <w:p w:rsidR="005E5A49" w:rsidRPr="00870333" w:rsidRDefault="005E5A49" w:rsidP="005E5A49">
      <w:pPr>
        <w:tabs>
          <w:tab w:val="left" w:pos="1276"/>
          <w:tab w:val="left" w:pos="1985"/>
        </w:tabs>
        <w:ind w:left="1985" w:hanging="1985"/>
        <w:rPr>
          <w:rFonts w:eastAsiaTheme="minorEastAsia"/>
        </w:rPr>
      </w:pPr>
      <w:r>
        <w:rPr>
          <w:rFonts w:eastAsiaTheme="minorEastAsia"/>
        </w:rPr>
        <w:tab/>
      </w:r>
      <w:r>
        <w:rPr>
          <w:rFonts w:eastAsiaTheme="minorEastAsia"/>
        </w:rPr>
        <w:tab/>
      </w:r>
      <m:oMath>
        <m:r>
          <w:rPr>
            <w:rFonts w:ascii="Cambria Math" w:hAnsi="Cambria Math"/>
          </w:rPr>
          <m:t>G</m:t>
        </m:r>
        <m:d>
          <m:dPr>
            <m:ctrlPr>
              <w:rPr>
                <w:rFonts w:ascii="Cambria Math" w:hAnsi="Cambria Math"/>
                <w:i/>
              </w:rPr>
            </m:ctrlPr>
          </m:dPr>
          <m:e>
            <m:r>
              <w:rPr>
                <w:rFonts w:ascii="Cambria Math" w:hAnsi="Cambria Math"/>
                <w:caps/>
              </w:rPr>
              <m:t>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7,5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m:rPr>
                <m:sty m:val="p"/>
              </m:rPr>
              <w:rPr>
                <w:rFonts w:ascii="Cambria Math" w:eastAsiaTheme="minorEastAsia" w:hAnsi="Cambria Math"/>
              </w:rPr>
              <m:t xml:space="preserve"> A</m:t>
            </m:r>
          </m:num>
          <m:den>
            <m:r>
              <w:rPr>
                <w:rFonts w:ascii="Cambria Math" w:eastAsiaTheme="minorEastAsia" w:hAnsi="Cambria Math"/>
              </w:rPr>
              <m:t xml:space="preserve">6,43 </m:t>
            </m:r>
            <m:r>
              <m:rPr>
                <m:sty m:val="p"/>
              </m:rPr>
              <w:rPr>
                <w:rFonts w:ascii="Cambria Math" w:eastAsiaTheme="minorEastAsia" w:hAnsi="Cambria Math"/>
              </w:rPr>
              <m:t>V</m:t>
            </m:r>
          </m:den>
        </m:f>
        <m:r>
          <w:rPr>
            <w:rFonts w:ascii="Cambria Math" w:eastAsiaTheme="minorEastAsia" w:hAnsi="Cambria Math"/>
          </w:rPr>
          <m:t>=1,17∙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 xml:space="preserve"> </m:t>
        </m:r>
        <m:r>
          <m:rPr>
            <m:sty m:val="p"/>
          </m:rPr>
          <w:rPr>
            <w:rFonts w:ascii="Cambria Math" w:eastAsiaTheme="minorEastAsia" w:hAnsi="Cambria Math"/>
          </w:rPr>
          <m:t>S</m:t>
        </m:r>
      </m:oMath>
      <w:r>
        <w:rPr>
          <w:rFonts w:eastAsiaTheme="minorEastAsia"/>
        </w:rPr>
        <w:tab/>
      </w:r>
      <m:oMath>
        <m:r>
          <w:rPr>
            <w:rFonts w:ascii="Cambria Math" w:hAnsi="Cambria Math"/>
          </w:rPr>
          <m:t>G</m:t>
        </m:r>
        <m:d>
          <m:dPr>
            <m:ctrlPr>
              <w:rPr>
                <w:rFonts w:ascii="Cambria Math" w:hAnsi="Cambria Math"/>
                <w:i/>
              </w:rPr>
            </m:ctrlPr>
          </m:dPr>
          <m:e>
            <m:r>
              <w:rPr>
                <w:rFonts w:ascii="Cambria Math" w:hAnsi="Cambria Math"/>
                <w:caps/>
              </w:rPr>
              <m:t>2</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9,3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m:rPr>
                <m:sty m:val="p"/>
              </m:rPr>
              <w:rPr>
                <w:rFonts w:ascii="Cambria Math" w:eastAsiaTheme="minorEastAsia" w:hAnsi="Cambria Math"/>
              </w:rPr>
              <m:t xml:space="preserve"> A</m:t>
            </m:r>
          </m:num>
          <m:den>
            <m:r>
              <w:rPr>
                <w:rFonts w:ascii="Cambria Math" w:eastAsiaTheme="minorEastAsia" w:hAnsi="Cambria Math"/>
              </w:rPr>
              <m:t xml:space="preserve">6,43 </m:t>
            </m:r>
            <m:r>
              <m:rPr>
                <m:sty m:val="p"/>
              </m:rPr>
              <w:rPr>
                <w:rFonts w:ascii="Cambria Math" w:eastAsiaTheme="minorEastAsia" w:hAnsi="Cambria Math"/>
              </w:rPr>
              <m:t>V</m:t>
            </m:r>
          </m:den>
        </m:f>
        <m:r>
          <w:rPr>
            <w:rFonts w:ascii="Cambria Math" w:eastAsiaTheme="minorEastAsia" w:hAnsi="Cambria Math"/>
          </w:rPr>
          <m:t>=1,45∙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 xml:space="preserve"> </m:t>
        </m:r>
        <m:r>
          <m:rPr>
            <m:sty m:val="p"/>
          </m:rPr>
          <w:rPr>
            <w:rFonts w:ascii="Cambria Math" w:eastAsiaTheme="minorEastAsia" w:hAnsi="Cambria Math"/>
          </w:rPr>
          <m:t>S</m:t>
        </m:r>
      </m:oMath>
    </w:p>
    <w:p w:rsidR="005E5A49" w:rsidRDefault="005E5A49" w:rsidP="005E5A49">
      <w:pPr>
        <w:tabs>
          <w:tab w:val="left" w:pos="1276"/>
          <w:tab w:val="left" w:pos="1985"/>
        </w:tabs>
        <w:ind w:left="1985" w:hanging="1985"/>
        <w:rPr>
          <w:rFonts w:eastAsiaTheme="minorEastAsia"/>
        </w:rPr>
      </w:pPr>
      <w:r>
        <w:tab/>
      </w:r>
      <w:r>
        <w:tab/>
        <w:t xml:space="preserve">Die Salzsäure-Lösung (2) leitet den Strom besser, als die Natriumchlorid-Lösung (1) und da in beiden Versuchsteilen gleiche Stoffmengen Chlorid verwendet wurden, zeigt sich, dass die </w:t>
      </w:r>
      <w:proofErr w:type="spellStart"/>
      <w:r>
        <w:t>Oxoniumionen</w:t>
      </w:r>
      <w:proofErr w:type="spellEnd"/>
      <w:r>
        <w:t xml:space="preserve"> einen größeren Einfluss auf den Leitwert haben, als Natriumionen. Erwartungsgemäß haben kleinere Ionen eine größere Hydrathülle und diffundieren daher „träger“ durch die Lösung. Der Versuch zeigt jedoch eine höhere Beweglichkeit für die Wasserstoffprotonen. Dies </w:t>
      </w:r>
      <w:r>
        <w:rPr>
          <w:rFonts w:eastAsiaTheme="minorEastAsia"/>
        </w:rPr>
        <w:t xml:space="preserve">hängt mit dem sogenannten </w:t>
      </w:r>
      <w:proofErr w:type="spellStart"/>
      <w:r>
        <w:rPr>
          <w:rFonts w:eastAsiaTheme="minorEastAsia"/>
        </w:rPr>
        <w:t>Grotthuß</w:t>
      </w:r>
      <w:proofErr w:type="spellEnd"/>
      <w:r>
        <w:rPr>
          <w:rFonts w:eastAsiaTheme="minorEastAsia"/>
        </w:rPr>
        <w:t xml:space="preserve">-Mechanismus zusammen. Nach diesem werden die Wasserstoffprotonen </w:t>
      </w:r>
      <w:r>
        <w:rPr>
          <w:rFonts w:eastAsiaTheme="minorEastAsia"/>
        </w:rPr>
        <w:lastRenderedPageBreak/>
        <w:t xml:space="preserve">über einen Kettenmechanismus unter der Bildung von </w:t>
      </w:r>
      <w:proofErr w:type="spellStart"/>
      <w:r>
        <w:rPr>
          <w:rFonts w:eastAsiaTheme="minorEastAsia"/>
        </w:rPr>
        <w:t>Oxoniumionen</w:t>
      </w:r>
      <w:proofErr w:type="spellEnd"/>
      <w:r>
        <w:rPr>
          <w:rFonts w:eastAsiaTheme="minorEastAsia"/>
        </w:rPr>
        <w:t xml:space="preserve"> zwischen den Wassermolekülen weitergegeben</w:t>
      </w:r>
      <w:r>
        <w:rPr>
          <w:rStyle w:val="Funotenzeichen"/>
          <w:rFonts w:eastAsiaTheme="minorEastAsia"/>
        </w:rPr>
        <w:footnoteReference w:id="2"/>
      </w:r>
      <w:r>
        <w:rPr>
          <w:rFonts w:eastAsiaTheme="minorEastAsia"/>
        </w:rPr>
        <w:t xml:space="preserve">. </w:t>
      </w:r>
    </w:p>
    <w:p w:rsidR="005E5A49" w:rsidRPr="00870333" w:rsidRDefault="005E5A49" w:rsidP="005E5A49">
      <w:pPr>
        <w:tabs>
          <w:tab w:val="left" w:pos="1276"/>
          <w:tab w:val="left" w:pos="1985"/>
        </w:tabs>
        <w:ind w:left="1985" w:hanging="1985"/>
        <w:rPr>
          <w:rFonts w:eastAsiaTheme="minorEastAsia"/>
        </w:rPr>
      </w:pPr>
      <w:r>
        <w:rPr>
          <w:rFonts w:eastAsiaTheme="minorEastAsia"/>
        </w:rPr>
        <w:tab/>
      </w:r>
      <w:r>
        <w:rPr>
          <w:rFonts w:eastAsiaTheme="minorEastAsia"/>
        </w:rPr>
        <w:tab/>
        <w:t xml:space="preserve">Anhand von Salzsäure als Modellsäure kann über die Leitfähigkeitsmessung die Säuredefinition von </w:t>
      </w:r>
      <w:proofErr w:type="spellStart"/>
      <w:r>
        <w:rPr>
          <w:rFonts w:eastAsiaTheme="minorEastAsia"/>
        </w:rPr>
        <w:t>Brønsted</w:t>
      </w:r>
      <w:proofErr w:type="spellEnd"/>
      <w:r>
        <w:rPr>
          <w:rFonts w:eastAsiaTheme="minorEastAsia"/>
        </w:rPr>
        <w:t xml:space="preserve"> und Lowry aufgegriffen werden: „Eine Säure ist ein Stoff (ein Molekül oder ein Ion), der einem anderen Stoff ein Proton abgibt.“</w:t>
      </w:r>
      <w:r>
        <w:rPr>
          <w:rStyle w:val="Funotenzeichen"/>
          <w:rFonts w:eastAsiaTheme="minorEastAsia"/>
        </w:rPr>
        <w:footnoteReference w:id="3"/>
      </w:r>
      <w:r>
        <w:rPr>
          <w:rFonts w:eastAsiaTheme="minorEastAsia"/>
        </w:rPr>
        <w:t xml:space="preserve"> Für die Reaktion mit Wasser gilt dann allgemein: Eine Säure (</w:t>
      </w:r>
      <w:proofErr w:type="spellStart"/>
      <w:r>
        <w:rPr>
          <w:rFonts w:eastAsiaTheme="minorEastAsia"/>
        </w:rPr>
        <w:t>HAc</w:t>
      </w:r>
      <w:proofErr w:type="spellEnd"/>
      <w:r>
        <w:rPr>
          <w:rFonts w:eastAsiaTheme="minorEastAsia"/>
        </w:rPr>
        <w:t xml:space="preserve">) überträgt als </w:t>
      </w:r>
      <w:proofErr w:type="spellStart"/>
      <w:r>
        <w:rPr>
          <w:rFonts w:eastAsiaTheme="minorEastAsia"/>
        </w:rPr>
        <w:t>Protonendonator</w:t>
      </w:r>
      <w:proofErr w:type="spellEnd"/>
      <w:r>
        <w:rPr>
          <w:rFonts w:eastAsiaTheme="minorEastAsia"/>
        </w:rPr>
        <w:t xml:space="preserve"> ein Wasserstoffproton auf das Wasser (</w:t>
      </w:r>
      <m:oMath>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O</m:t>
        </m:r>
      </m:oMath>
      <w:r>
        <w:rPr>
          <w:rFonts w:eastAsiaTheme="minorEastAsia"/>
        </w:rPr>
        <w:t>), das als Protonenakzeptor reagiert. Es entstehen ein Säurerest-Anion (</w:t>
      </w:r>
      <m:oMath>
        <m:sSup>
          <m:sSupPr>
            <m:ctrlPr>
              <w:rPr>
                <w:rFonts w:ascii="Cambria Math" w:hAnsi="Cambria Math"/>
              </w:rPr>
            </m:ctrlPr>
          </m:sSupPr>
          <m:e>
            <m:r>
              <m:rPr>
                <m:sty m:val="p"/>
              </m:rPr>
              <w:rPr>
                <w:rFonts w:ascii="Cambria Math" w:hAnsi="Cambria Math"/>
              </w:rPr>
              <m:t>Ac</m:t>
            </m:r>
          </m:e>
          <m:sup>
            <m:r>
              <w:rPr>
                <w:rFonts w:ascii="Cambria Math" w:hAnsi="Cambria Math"/>
              </w:rPr>
              <m:t>-</m:t>
            </m:r>
          </m:sup>
        </m:sSup>
      </m:oMath>
      <w:r>
        <w:rPr>
          <w:rFonts w:eastAsiaTheme="minorEastAsia"/>
        </w:rPr>
        <w:t>) und ein Oxoniumkation (</w:t>
      </w: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H</m:t>
                </m:r>
              </m:e>
              <m:sub>
                <m:r>
                  <w:rPr>
                    <w:rFonts w:ascii="Cambria Math" w:hAnsi="Cambria Math"/>
                  </w:rPr>
                  <m:t>3</m:t>
                </m:r>
              </m:sub>
            </m:sSub>
            <m:r>
              <m:rPr>
                <m:sty m:val="p"/>
              </m:rPr>
              <w:rPr>
                <w:rFonts w:ascii="Cambria Math" w:hAnsi="Cambria Math"/>
              </w:rPr>
              <m:t>O</m:t>
            </m:r>
          </m:e>
          <m:sup>
            <m:r>
              <w:rPr>
                <w:rFonts w:ascii="Cambria Math" w:hAnsi="Cambria Math"/>
              </w:rPr>
              <m:t>+</m:t>
            </m:r>
          </m:sup>
        </m:sSup>
      </m:oMath>
      <w:r>
        <w:rPr>
          <w:rFonts w:eastAsiaTheme="minorEastAsia"/>
        </w:rPr>
        <w:t>).</w:t>
      </w:r>
    </w:p>
    <w:p w:rsidR="005E5A49" w:rsidRDefault="005E5A49" w:rsidP="005E5A49">
      <w:pPr>
        <w:tabs>
          <w:tab w:val="left" w:pos="1276"/>
          <w:tab w:val="left" w:pos="1985"/>
        </w:tabs>
        <w:ind w:left="1985" w:hanging="1985"/>
        <w:jc w:val="center"/>
      </w:pPr>
      <m:oMathPara>
        <m:oMath>
          <m:sSub>
            <m:sSubPr>
              <m:ctrlPr>
                <w:rPr>
                  <w:rFonts w:ascii="Cambria Math" w:eastAsiaTheme="minorEastAsia" w:hAnsi="Cambria Math"/>
                </w:rPr>
              </m:ctrlPr>
            </m:sSubPr>
            <m:e>
              <m:r>
                <m:rPr>
                  <m:sty m:val="p"/>
                </m:rPr>
                <w:rPr>
                  <w:rFonts w:ascii="Cambria Math" w:eastAsiaTheme="minorEastAsia" w:hAnsi="Cambria Math"/>
                </w:rPr>
                <m:t>HAc</m:t>
              </m:r>
            </m:e>
            <m:sub>
              <m:r>
                <w:rPr>
                  <w:rFonts w:ascii="Cambria Math" w:eastAsiaTheme="minorEastAsia" w:hAnsi="Cambria Math"/>
                </w:rPr>
                <m:t xml:space="preserve"> </m:t>
              </m:r>
              <m:r>
                <m:rPr>
                  <m:sty m:val="p"/>
                </m:rPr>
                <w:rPr>
                  <w:rFonts w:ascii="Cambria Math" w:eastAsiaTheme="minorEastAsia" w:hAnsi="Cambria Math"/>
                </w:rPr>
                <m:t>(l)/(s)/(g)/(aq)</m:t>
              </m:r>
            </m:sub>
          </m:sSub>
          <m:r>
            <w:rPr>
              <w:rFonts w:ascii="Cambria Math" w:eastAsiaTheme="minorEastAsia"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 xml:space="preserve">O </m:t>
              </m:r>
            </m:e>
            <m:sub>
              <m:r>
                <m:rPr>
                  <m:sty m:val="p"/>
                </m:rPr>
                <w:rPr>
                  <w:rFonts w:ascii="Cambria Math" w:hAnsi="Cambria Math"/>
                </w:rPr>
                <m:t>(l)</m:t>
              </m:r>
            </m:sub>
          </m:sSub>
          <m:r>
            <w:rPr>
              <w:rFonts w:ascii="Cambria Math" w:hAnsi="Cambria Math"/>
            </w:rPr>
            <m:t>→</m:t>
          </m:r>
          <m:sSub>
            <m:sSubPr>
              <m:ctrlPr>
                <w:rPr>
                  <w:rFonts w:ascii="Cambria Math" w:hAnsi="Cambria Math"/>
                  <w:i/>
                </w:rPr>
              </m:ctrlPr>
            </m:sSubPr>
            <m:e>
              <m:sSup>
                <m:sSupPr>
                  <m:ctrlPr>
                    <w:rPr>
                      <w:rFonts w:ascii="Cambria Math" w:hAnsi="Cambria Math"/>
                    </w:rPr>
                  </m:ctrlPr>
                </m:sSupPr>
                <m:e>
                  <m:r>
                    <m:rPr>
                      <m:sty m:val="p"/>
                    </m:rPr>
                    <w:rPr>
                      <w:rFonts w:ascii="Cambria Math" w:hAnsi="Cambria Math"/>
                    </w:rPr>
                    <m:t>Ac</m:t>
                  </m:r>
                </m:e>
                <m:sup>
                  <m:r>
                    <w:rPr>
                      <w:rFonts w:ascii="Cambria Math" w:hAnsi="Cambria Math"/>
                    </w:rPr>
                    <m:t>-</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H</m:t>
                      </m:r>
                    </m:e>
                    <m:sub>
                      <m:r>
                        <w:rPr>
                          <w:rFonts w:ascii="Cambria Math" w:hAnsi="Cambria Math"/>
                        </w:rPr>
                        <m:t>3</m:t>
                      </m:r>
                    </m:sub>
                  </m:sSub>
                  <m:r>
                    <m:rPr>
                      <m:sty m:val="p"/>
                    </m:rPr>
                    <w:rPr>
                      <w:rFonts w:ascii="Cambria Math" w:hAnsi="Cambria Math"/>
                    </w:rPr>
                    <m:t>O</m:t>
                  </m:r>
                </m:e>
                <m:sup>
                  <m:r>
                    <w:rPr>
                      <w:rFonts w:ascii="Cambria Math" w:hAnsi="Cambria Math"/>
                    </w:rPr>
                    <m:t>+</m:t>
                  </m:r>
                </m:sup>
              </m:sSup>
            </m:e>
            <m:sub>
              <m:r>
                <m:rPr>
                  <m:sty m:val="p"/>
                </m:rPr>
                <w:rPr>
                  <w:rFonts w:ascii="Cambria Math" w:hAnsi="Cambria Math"/>
                </w:rPr>
                <m:t>(aq)</m:t>
              </m:r>
            </m:sub>
          </m:sSub>
        </m:oMath>
      </m:oMathPara>
    </w:p>
    <w:p w:rsidR="005E5A49" w:rsidRDefault="005E5A49" w:rsidP="005E5A49">
      <w:pPr>
        <w:tabs>
          <w:tab w:val="left" w:pos="1985"/>
        </w:tabs>
        <w:ind w:left="1985" w:hanging="1985"/>
        <w:jc w:val="left"/>
      </w:pPr>
      <w:r>
        <w:t>Entsorgung:</w:t>
      </w:r>
      <w:r>
        <w:tab/>
        <w:t>Die Reaktionsprodukte im Reagenzglas werden mit Wasser aufgefüllt und in den Behälter für anorganische Säuren gegeben. Der Inhalt des Becherglases kann bei beiden Versuchsteilen über den Ausguss entsorgt werden.</w:t>
      </w:r>
    </w:p>
    <w:p w:rsidR="005E5A49" w:rsidRDefault="005E5A49" w:rsidP="005E5A49">
      <w:pPr>
        <w:ind w:left="1985" w:hanging="1985"/>
        <w:jc w:val="left"/>
      </w:pPr>
      <w:r>
        <w:t>Literatur:</w:t>
      </w:r>
      <w:r>
        <w:tab/>
      </w:r>
      <w:r w:rsidRPr="00C13D59">
        <w:t>Seilnacht, Thomas (2016): Salzsäure. Online verfügbar unter http://www.seilnacht.com/Chemie/ch_hcl.htm, zuletzt aktualisiert am 11.07.2016</w:t>
      </w:r>
      <w:r>
        <w:t>, zuletzt geprüft am 31.07.2016.</w:t>
      </w:r>
    </w:p>
    <w:p w:rsidR="005E5A49" w:rsidRDefault="005E5A49" w:rsidP="005E5A49">
      <w:pPr>
        <w:ind w:left="1985" w:hanging="1985"/>
        <w:jc w:val="left"/>
      </w:pPr>
      <w:r>
        <w:tab/>
        <w:t>Irmer, Erhard: Elemente Chemie 7-10. Niedersachsen G8 (2009). 1. Aufl., [Dr.] 1. Stuttgart, Leipzig: Klett</w:t>
      </w:r>
    </w:p>
    <w:p w:rsidR="001C369B" w:rsidRPr="005E5A49" w:rsidRDefault="005E5A49" w:rsidP="005E5A49">
      <w:pPr>
        <w:tabs>
          <w:tab w:val="left" w:pos="1546"/>
        </w:tabs>
      </w:pPr>
      <w:r>
        <w:tab/>
      </w:r>
      <w:r>
        <w:rPr>
          <w:noProof/>
          <w:lang w:eastAsia="de-DE"/>
        </w:rPr>
        <mc:AlternateContent>
          <mc:Choice Requires="wps">
            <w:drawing>
              <wp:inline distT="0" distB="0" distL="0" distR="0" wp14:anchorId="6FC2C296" wp14:editId="1DAFDFA4">
                <wp:extent cx="5871600" cy="2424418"/>
                <wp:effectExtent l="0" t="0" r="15240" b="14605"/>
                <wp:docPr id="4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600" cy="2424418"/>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5A49" w:rsidRDefault="005E5A49" w:rsidP="005E5A49">
                            <w:pPr>
                              <w:rPr>
                                <w:color w:val="auto"/>
                              </w:rPr>
                            </w:pPr>
                            <w:r w:rsidRPr="00F31EBF">
                              <w:rPr>
                                <w:b/>
                                <w:color w:val="auto"/>
                              </w:rPr>
                              <w:t>Unterrichtsanschlüsse</w:t>
                            </w:r>
                            <w:r>
                              <w:rPr>
                                <w:b/>
                                <w:color w:val="auto"/>
                              </w:rPr>
                              <w:t>:</w:t>
                            </w:r>
                            <w:r w:rsidRPr="00580AF4">
                              <w:rPr>
                                <w:color w:val="auto"/>
                              </w:rPr>
                              <w:t xml:space="preserve"> </w:t>
                            </w:r>
                            <w:r>
                              <w:rPr>
                                <w:color w:val="auto"/>
                              </w:rPr>
                              <w:t>Der Titel „Vom Salz zur Säure“ zeigt eine mögliche Einordnung des Versuchs in den Übergang von Ionenbildung zu Konzepten der Säure-Base-Chemie. Die Leitfähigkeitsmessung dient hier zur Analyse der veränderten Stoffeigenschaften beim Lösungsvorgang von Salzen im Vergleich zu Säuren. Alternativ kann in reduzierter Form auch einfach die Abhängigkeit der Leitfähigkeit von Stoffeigenschaften der Ionen, wie hier der Ionenradius thematisiert werden.</w:t>
                            </w:r>
                          </w:p>
                          <w:p w:rsidR="005E5A49" w:rsidRDefault="005E5A49" w:rsidP="005E5A49">
                            <w:pPr>
                              <w:rPr>
                                <w:color w:val="auto"/>
                              </w:rPr>
                            </w:pPr>
                            <w:r>
                              <w:rPr>
                                <w:color w:val="auto"/>
                              </w:rPr>
                              <w:t>Hinweis: Das Chlorwasserstoffgas darf im Versuch nicht direkt in das Wasser geleitet werden, da durch die hygroskopische Wirkung sonst Wasser durch den Schlauch in das Reagenzglas gezogen wird.</w:t>
                            </w:r>
                          </w:p>
                          <w:p w:rsidR="005E5A49" w:rsidRPr="00F31EBF" w:rsidRDefault="005E5A49" w:rsidP="005E5A49">
                            <w:pPr>
                              <w:rPr>
                                <w:color w:val="auto"/>
                              </w:rPr>
                            </w:pPr>
                          </w:p>
                        </w:txbxContent>
                      </wps:txbx>
                      <wps:bodyPr rot="0" vert="horz" wrap="square" lIns="91440" tIns="45720" rIns="91440" bIns="45720" anchor="t" anchorCtr="0" upright="1">
                        <a:noAutofit/>
                      </wps:bodyPr>
                    </wps:wsp>
                  </a:graphicData>
                </a:graphic>
              </wp:inline>
            </w:drawing>
          </mc:Choice>
          <mc:Fallback>
            <w:pict>
              <v:shape w14:anchorId="6FC2C296" id="Text Box 232" o:spid="_x0000_s1028" type="#_x0000_t202" style="width:462.35pt;height:1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" fillcolor="white [3201]" strokecolor="#ed7d31 [3205]" strokeweight="1pt">
                <v:stroke dashstyle="dash"/>
                <v:shadow color="#868686"/>
                <v:textbox>
                  <w:txbxContent>
                    <w:p w:rsidR="005E5A49" w:rsidRDefault="005E5A49" w:rsidP="005E5A49">
                      <w:pPr>
                        <w:rPr>
                          <w:color w:val="auto"/>
                        </w:rPr>
                      </w:pPr>
                      <w:r w:rsidRPr="00F31EBF">
                        <w:rPr>
                          <w:b/>
                          <w:color w:val="auto"/>
                        </w:rPr>
                        <w:t>Unterrichtsanschlüsse</w:t>
                      </w:r>
                      <w:r>
                        <w:rPr>
                          <w:b/>
                          <w:color w:val="auto"/>
                        </w:rPr>
                        <w:t>:</w:t>
                      </w:r>
                      <w:r w:rsidRPr="00580AF4">
                        <w:rPr>
                          <w:color w:val="auto"/>
                        </w:rPr>
                        <w:t xml:space="preserve"> </w:t>
                      </w:r>
                      <w:r>
                        <w:rPr>
                          <w:color w:val="auto"/>
                        </w:rPr>
                        <w:t>Der Titel „Vom Salz zur Säure“ zeigt eine mögliche Einordnung des Versuchs in den Übergang von Ionenbildung zu Konzepten der Säure-Base-Chemie. Die Leitfähigkeitsmessung dient hier zur Analyse der veränderten Stoffeigenschaften beim Lösungsvorgang von Salzen im Vergleich zu Säuren. Alternativ kann in reduzierter Form auch einfach die Abhängigkeit der Leitfähigkeit von Stoffeigenschaften der Ionen, wie hier der Ionenradius thematisiert werden.</w:t>
                      </w:r>
                    </w:p>
                    <w:p w:rsidR="005E5A49" w:rsidRDefault="005E5A49" w:rsidP="005E5A49">
                      <w:pPr>
                        <w:rPr>
                          <w:color w:val="auto"/>
                        </w:rPr>
                      </w:pPr>
                      <w:r>
                        <w:rPr>
                          <w:color w:val="auto"/>
                        </w:rPr>
                        <w:t>Hinweis: Das Chlorwasserstoffgas darf im Versuch nicht direkt in das Wasser geleitet werden, da durch die hygroskopische Wirkung sonst Wasser durch den Schlauch in das Reagenzglas gezogen wird.</w:t>
                      </w:r>
                    </w:p>
                    <w:p w:rsidR="005E5A49" w:rsidRPr="00F31EBF" w:rsidRDefault="005E5A49" w:rsidP="005E5A49">
                      <w:pPr>
                        <w:rPr>
                          <w:color w:val="auto"/>
                        </w:rPr>
                      </w:pPr>
                    </w:p>
                  </w:txbxContent>
                </v:textbox>
                <w10:anchorlock/>
              </v:shape>
            </w:pict>
          </mc:Fallback>
        </mc:AlternateContent>
      </w:r>
    </w:p>
    <w:sectPr w:rsidR="001C369B" w:rsidRPr="005E5A49" w:rsidSect="00C84DA0">
      <w:pgSz w:w="11906" w:h="16838"/>
      <w:pgMar w:top="1417" w:right="1417" w:bottom="709"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58F" w:rsidRDefault="0076658F" w:rsidP="0075593D">
      <w:pPr>
        <w:spacing w:after="0" w:line="240" w:lineRule="auto"/>
      </w:pPr>
      <w:r>
        <w:separator/>
      </w:r>
    </w:p>
  </w:endnote>
  <w:endnote w:type="continuationSeparator" w:id="0">
    <w:p w:rsidR="0076658F" w:rsidRDefault="0076658F" w:rsidP="0075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58F" w:rsidRDefault="0076658F" w:rsidP="0075593D">
      <w:pPr>
        <w:spacing w:after="0" w:line="240" w:lineRule="auto"/>
      </w:pPr>
      <w:r>
        <w:separator/>
      </w:r>
    </w:p>
  </w:footnote>
  <w:footnote w:type="continuationSeparator" w:id="0">
    <w:p w:rsidR="0076658F" w:rsidRDefault="0076658F" w:rsidP="0075593D">
      <w:pPr>
        <w:spacing w:after="0" w:line="240" w:lineRule="auto"/>
      </w:pPr>
      <w:r>
        <w:continuationSeparator/>
      </w:r>
    </w:p>
  </w:footnote>
  <w:footnote w:id="1">
    <w:p w:rsidR="005E5A49" w:rsidRDefault="005E5A49" w:rsidP="005E5A49">
      <w:pPr>
        <w:pStyle w:val="Funotentext"/>
      </w:pPr>
      <w:r>
        <w:rPr>
          <w:rStyle w:val="Funotenzeichen"/>
        </w:rPr>
        <w:footnoteRef/>
      </w:r>
      <w:r>
        <w:t xml:space="preserve"> </w:t>
      </w:r>
      <w:r w:rsidRPr="00F72C49">
        <w:t xml:space="preserve">elektrische Leitfähigkeit - </w:t>
      </w:r>
      <w:proofErr w:type="spellStart"/>
      <w:r w:rsidRPr="00F72C49">
        <w:t>Chemgapedia</w:t>
      </w:r>
      <w:proofErr w:type="spellEnd"/>
      <w:r w:rsidRPr="00F72C49">
        <w:t>. Online verfügbar unter http://www.chemgapedia.de/vsengine/glossary/de/elektrische_00032leitf_00228higkeit.glos.html, zuletzt geprüft am 31.07.2016.</w:t>
      </w:r>
    </w:p>
  </w:footnote>
  <w:footnote w:id="2">
    <w:p w:rsidR="005E5A49" w:rsidRDefault="005E5A49" w:rsidP="005E5A49">
      <w:pPr>
        <w:pStyle w:val="Funotentext"/>
      </w:pPr>
      <w:r>
        <w:rPr>
          <w:rStyle w:val="Funotenzeichen"/>
        </w:rPr>
        <w:footnoteRef/>
      </w:r>
      <w:r>
        <w:t xml:space="preserve"> </w:t>
      </w:r>
      <w:r w:rsidRPr="0043683B">
        <w:t xml:space="preserve">Elektrolytische Leitfähigkeit - </w:t>
      </w:r>
      <w:proofErr w:type="spellStart"/>
      <w:r w:rsidRPr="0043683B">
        <w:t>Chemgapedia</w:t>
      </w:r>
      <w:proofErr w:type="spellEnd"/>
      <w:r w:rsidRPr="0043683B">
        <w:t>. Online verfügbar unter http://www.chemgapedia.de/vsengine/vlu/vsc/de/ch/1/pc/pc_07/pc_07_02/pc_07_02_01.vlu/Page/vsc/de/ch/1/pc/pc_07/pc_07_02/pc_07_02_07.vscml.html, zuletzt geprüft am 31.07.2016.</w:t>
      </w:r>
    </w:p>
  </w:footnote>
  <w:footnote w:id="3">
    <w:p w:rsidR="005E5A49" w:rsidRDefault="005E5A49" w:rsidP="005E5A49">
      <w:pPr>
        <w:pStyle w:val="Funotentext"/>
      </w:pPr>
      <w:r>
        <w:rPr>
          <w:rStyle w:val="Funotenzeichen"/>
        </w:rPr>
        <w:footnoteRef/>
      </w:r>
      <w:r w:rsidRPr="00105884">
        <w:rPr>
          <w:lang w:val="en-US"/>
        </w:rPr>
        <w:t xml:space="preserve"> Brown, Theodore L.; </w:t>
      </w:r>
      <w:proofErr w:type="spellStart"/>
      <w:r w:rsidRPr="00105884">
        <w:rPr>
          <w:lang w:val="en-US"/>
        </w:rPr>
        <w:t>LeMay</w:t>
      </w:r>
      <w:proofErr w:type="spellEnd"/>
      <w:r w:rsidRPr="00105884">
        <w:rPr>
          <w:lang w:val="en-US"/>
        </w:rPr>
        <w:t xml:space="preserve">, Harold Eugene; </w:t>
      </w:r>
      <w:proofErr w:type="spellStart"/>
      <w:r w:rsidRPr="00105884">
        <w:rPr>
          <w:lang w:val="en-US"/>
        </w:rPr>
        <w:t>Bursten</w:t>
      </w:r>
      <w:proofErr w:type="spellEnd"/>
      <w:r w:rsidRPr="00105884">
        <w:rPr>
          <w:lang w:val="en-US"/>
        </w:rPr>
        <w:t xml:space="preserve">, Bruce Edward; </w:t>
      </w:r>
      <w:proofErr w:type="spellStart"/>
      <w:r w:rsidRPr="00105884">
        <w:rPr>
          <w:lang w:val="en-US"/>
        </w:rPr>
        <w:t>Robl</w:t>
      </w:r>
      <w:proofErr w:type="spellEnd"/>
      <w:r w:rsidRPr="00105884">
        <w:rPr>
          <w:lang w:val="en-US"/>
        </w:rPr>
        <w:t xml:space="preserve">, Christian (2011): </w:t>
      </w:r>
      <w:proofErr w:type="spellStart"/>
      <w:r w:rsidRPr="00105884">
        <w:rPr>
          <w:lang w:val="en-US"/>
        </w:rPr>
        <w:t>Chemie</w:t>
      </w:r>
      <w:proofErr w:type="spellEnd"/>
      <w:r w:rsidRPr="00105884">
        <w:rPr>
          <w:lang w:val="en-US"/>
        </w:rPr>
        <w:t xml:space="preserve">. </w:t>
      </w:r>
      <w:r>
        <w:t>Studieren kompakt. 10., aktualisierte Aufl. München: Pearson. S. 639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6A"/>
    <w:rsid w:val="00074926"/>
    <w:rsid w:val="000D1C49"/>
    <w:rsid w:val="001C369B"/>
    <w:rsid w:val="005E5A49"/>
    <w:rsid w:val="00656137"/>
    <w:rsid w:val="00662142"/>
    <w:rsid w:val="006D2084"/>
    <w:rsid w:val="0075593D"/>
    <w:rsid w:val="0076658F"/>
    <w:rsid w:val="007C794F"/>
    <w:rsid w:val="00B13882"/>
    <w:rsid w:val="00B95C6A"/>
    <w:rsid w:val="00D879F3"/>
    <w:rsid w:val="00E060A7"/>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4291"/>
  <w15:chartTrackingRefBased/>
  <w15:docId w15:val="{534EC7B9-7E05-4AFB-9FD6-CFD1D00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B95C6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75593D"/>
    <w:pPr>
      <w:keepNext/>
      <w:keepLines/>
      <w:numPr>
        <w:numId w:val="1"/>
      </w:numPr>
      <w:spacing w:before="36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B95C6A"/>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B95C6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95C6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B95C6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B95C6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95C6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5C6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5C6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593D"/>
    <w:rPr>
      <w:rFonts w:ascii="Cambria" w:eastAsiaTheme="majorEastAsia" w:hAnsi="Cambria"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B95C6A"/>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B95C6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B95C6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B95C6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B95C6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95C6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95C6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5C6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95C6A"/>
    <w:pPr>
      <w:spacing w:line="240" w:lineRule="auto"/>
    </w:pPr>
    <w:rPr>
      <w:bCs/>
      <w:color w:val="auto"/>
      <w:sz w:val="18"/>
      <w:szCs w:val="18"/>
    </w:rPr>
  </w:style>
  <w:style w:type="character" w:styleId="Hyperlink">
    <w:name w:val="Hyperlink"/>
    <w:basedOn w:val="Absatz-Standardschriftart"/>
    <w:uiPriority w:val="99"/>
    <w:unhideWhenUsed/>
    <w:rsid w:val="00B95C6A"/>
    <w:rPr>
      <w:color w:val="0563C1" w:themeColor="hyperlink"/>
      <w:u w:val="single"/>
    </w:rPr>
  </w:style>
  <w:style w:type="paragraph" w:styleId="Kopfzeile">
    <w:name w:val="header"/>
    <w:basedOn w:val="Standard"/>
    <w:link w:val="KopfzeileZchn"/>
    <w:uiPriority w:val="99"/>
    <w:unhideWhenUsed/>
    <w:rsid w:val="007559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593D"/>
    <w:rPr>
      <w:rFonts w:ascii="Cambria" w:hAnsi="Cambria"/>
      <w:color w:val="171717" w:themeColor="background2" w:themeShade="1A"/>
    </w:rPr>
  </w:style>
  <w:style w:type="paragraph" w:styleId="Fuzeile">
    <w:name w:val="footer"/>
    <w:basedOn w:val="Standard"/>
    <w:link w:val="FuzeileZchn"/>
    <w:uiPriority w:val="99"/>
    <w:unhideWhenUsed/>
    <w:rsid w:val="0075593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5593D"/>
    <w:rPr>
      <w:rFonts w:ascii="Cambria" w:hAnsi="Cambria"/>
      <w:color w:val="171717" w:themeColor="background2" w:themeShade="1A"/>
    </w:rPr>
  </w:style>
  <w:style w:type="paragraph" w:styleId="Funotentext">
    <w:name w:val="footnote text"/>
    <w:basedOn w:val="Standard"/>
    <w:link w:val="FunotentextZchn"/>
    <w:uiPriority w:val="99"/>
    <w:semiHidden/>
    <w:unhideWhenUsed/>
    <w:rsid w:val="005E5A4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E5A49"/>
    <w:rPr>
      <w:rFonts w:ascii="Cambria" w:hAnsi="Cambria"/>
      <w:color w:val="171717" w:themeColor="background2" w:themeShade="1A"/>
      <w:sz w:val="20"/>
      <w:szCs w:val="20"/>
    </w:rPr>
  </w:style>
  <w:style w:type="character" w:styleId="Funotenzeichen">
    <w:name w:val="footnote reference"/>
    <w:basedOn w:val="Absatz-Standardschriftart"/>
    <w:uiPriority w:val="99"/>
    <w:semiHidden/>
    <w:unhideWhenUsed/>
    <w:rsid w:val="005E5A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http://de.wikipedia.org/wiki/H-_und_P-S%C3%A4tze"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5433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2</cp:revision>
  <dcterms:created xsi:type="dcterms:W3CDTF">2016-08-09T10:49:00Z</dcterms:created>
  <dcterms:modified xsi:type="dcterms:W3CDTF">2016-08-09T10:49:00Z</dcterms:modified>
</cp:coreProperties>
</file>