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A0" w:rsidRPr="008F798B" w:rsidRDefault="008636A0" w:rsidP="008636A0">
      <w:pPr>
        <w:pStyle w:val="berschrift2"/>
        <w:numPr>
          <w:ilvl w:val="0"/>
          <w:numId w:val="0"/>
        </w:numPr>
        <w:rPr>
          <w:color w:val="auto"/>
        </w:rPr>
      </w:pPr>
      <w:bookmarkStart w:id="0" w:name="_Toc457873021"/>
      <w:r>
        <w:rPr>
          <w:noProof/>
          <w:lang w:eastAsia="de-DE"/>
        </w:rPr>
        <mc:AlternateContent>
          <mc:Choice Requires="wps">
            <w:drawing>
              <wp:anchor distT="0" distB="0" distL="114300" distR="114300" simplePos="0" relativeHeight="251659264" behindDoc="0" locked="0" layoutInCell="1" allowOverlap="1" wp14:anchorId="20ED226E" wp14:editId="444EA695">
                <wp:simplePos x="0" y="0"/>
                <wp:positionH relativeFrom="column">
                  <wp:posOffset>-61595</wp:posOffset>
                </wp:positionH>
                <wp:positionV relativeFrom="paragraph">
                  <wp:posOffset>471805</wp:posOffset>
                </wp:positionV>
                <wp:extent cx="5873115" cy="2286000"/>
                <wp:effectExtent l="0" t="0" r="13335" b="19050"/>
                <wp:wrapSquare wrapText="bothSides"/>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860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6A0" w:rsidRPr="00F31EBF" w:rsidRDefault="008636A0" w:rsidP="008636A0">
                            <w:pPr>
                              <w:rPr>
                                <w:color w:val="auto"/>
                              </w:rPr>
                            </w:pPr>
                            <w:r>
                              <w:rPr>
                                <w:color w:val="auto"/>
                              </w:rPr>
                              <w:t>Dieser Versuch zeigt die Abhängigkeit der Leitfähigkeit von Metallsalzlösungen. Anhand von ausgewählten Salzen erarbeiten sich die Schülerinnen und Schüler im selbst durchgeführten Experiment die verschiedenen Parameter, die Einfluss auf die Leitfähigkeit von Lösungen nehmen. Dafür wird Vorwissen im Bereich Salze, Ionen und Lösungsvorgänge benötigt. Zur Leitfähigkeitsmessung werden Kenntnisse im Bereich der physikalischen Elektrizitätslehre erwartet, die zur Messung von Spannung und Stromstärke nötig sind. Außerdem muss der Konzentrationsbegriff, die molare Masse, Stoffmenge und das Ansetzen von Lösungen definierter Stoffmengenkonzentrationen bekannt sein. Die Leitfähigkeit wird hier didaktisch reduziert synonym für den Leitwert verwendet, der dem Kehrwert des Widerstandes entspricht.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D226E" id="_x0000_t202" coordsize="21600,21600" o:spt="202" path="m,l,21600r21600,l21600,xe">
                <v:stroke joinstyle="miter"/>
                <v:path gradientshapeok="t" o:connecttype="rect"/>
              </v:shapetype>
              <v:shape id="Text Box 195" o:spid="_x0000_s1026" type="#_x0000_t202" style="position:absolute;left:0;text-align:left;margin-left:-4.85pt;margin-top:37.15pt;width:462.4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" fillcolor="white [3201]" strokecolor="#4472c4 [3208]" strokeweight="1pt">
                <v:stroke dashstyle="dash"/>
                <v:shadow color="#868686"/>
                <v:textbox>
                  <w:txbxContent>
                    <w:p w:rsidR="008636A0" w:rsidRPr="00F31EBF" w:rsidRDefault="008636A0" w:rsidP="008636A0">
                      <w:pPr>
                        <w:rPr>
                          <w:color w:val="auto"/>
                        </w:rPr>
                      </w:pPr>
                      <w:r>
                        <w:rPr>
                          <w:color w:val="auto"/>
                        </w:rPr>
                        <w:t>Dieser Versuch zeigt die Abhängigkeit der Leitfähigkeit von Metallsalzlösungen. Anhand von ausgewählten Salzen erarbeiten sich die Schülerinnen und Schüler im selbst durchgeführten Experiment die verschiedenen Parameter, die Einfluss auf die Leitfähigkeit von Lösungen nehmen. Dafür wird Vorwissen im Bereich Salze, Ionen und Lösungsvorgänge benötigt. Zur Leitfähigkeitsmessung werden Kenntnisse im Bereich der physikalischen Elektrizitätslehre erwartet, die zur Messung von Spannung und Stromstärke nötig sind. Außerdem muss der Konzentrationsbegriff, die molare Masse, Stoffmenge und das Ansetzen von Lösungen definierter Stoffmengenkonzentrationen bekannt sein. Die Leitfähigkeit wird hier didaktisch reduziert synonym für den Leitwert verwendet, der dem Kehrwert des Widerstandes entspricht.</w:t>
                      </w:r>
                    </w:p>
                  </w:txbxContent>
                </v:textbox>
                <w10:wrap type="square"/>
              </v:shape>
            </w:pict>
          </mc:Fallback>
        </mc:AlternateContent>
      </w:r>
      <w:r w:rsidRPr="00CC307A">
        <w:rPr>
          <w:color w:val="auto"/>
        </w:rPr>
        <w:t>V2 –</w:t>
      </w:r>
      <w:r>
        <w:rPr>
          <w:color w:val="auto"/>
        </w:rPr>
        <w:t xml:space="preserve"> Abhän</w:t>
      </w:r>
      <w:bookmarkStart w:id="1" w:name="_GoBack"/>
      <w:bookmarkEnd w:id="1"/>
      <w:r>
        <w:rPr>
          <w:color w:val="auto"/>
        </w:rPr>
        <w:t>gigkeit der Leitfähigkeit</w:t>
      </w:r>
      <w:bookmarkEnd w:id="0"/>
    </w:p>
    <w:p w:rsidR="008636A0" w:rsidRDefault="008636A0" w:rsidP="008636A0"/>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36A0" w:rsidRPr="009C5E28" w:rsidTr="00586BCE">
        <w:tc>
          <w:tcPr>
            <w:tcW w:w="9322" w:type="dxa"/>
            <w:gridSpan w:val="9"/>
            <w:shd w:val="clear" w:color="auto" w:fill="4F81BD"/>
            <w:vAlign w:val="center"/>
          </w:tcPr>
          <w:p w:rsidR="008636A0" w:rsidRPr="00F31EBF" w:rsidRDefault="008636A0" w:rsidP="00586BCE">
            <w:pPr>
              <w:spacing w:after="0"/>
              <w:jc w:val="center"/>
              <w:rPr>
                <w:b/>
                <w:bCs/>
                <w:color w:val="FFFFFF" w:themeColor="background1"/>
              </w:rPr>
            </w:pPr>
            <w:r w:rsidRPr="00F31EBF">
              <w:rPr>
                <w:b/>
                <w:bCs/>
                <w:color w:val="FFFFFF" w:themeColor="background1"/>
              </w:rPr>
              <w:t>Gefahrenstoffe</w:t>
            </w:r>
          </w:p>
        </w:tc>
      </w:tr>
      <w:tr w:rsidR="008636A0" w:rsidRPr="009C5E28" w:rsidTr="00586BCE">
        <w:trPr>
          <w:trHeight w:val="434"/>
        </w:trPr>
        <w:tc>
          <w:tcPr>
            <w:tcW w:w="3027" w:type="dxa"/>
            <w:gridSpan w:val="3"/>
            <w:shd w:val="clear" w:color="auto" w:fill="auto"/>
            <w:vAlign w:val="center"/>
          </w:tcPr>
          <w:p w:rsidR="008636A0" w:rsidRPr="00AF5CCE" w:rsidRDefault="008636A0" w:rsidP="00586BCE">
            <w:pPr>
              <w:spacing w:after="0" w:line="276" w:lineRule="auto"/>
              <w:jc w:val="center"/>
              <w:rPr>
                <w:color w:val="auto"/>
                <w:sz w:val="20"/>
                <w:szCs w:val="20"/>
              </w:rPr>
            </w:pPr>
            <w:r>
              <w:rPr>
                <w:color w:val="auto"/>
                <w:sz w:val="20"/>
                <w:szCs w:val="20"/>
              </w:rPr>
              <w:t>Natriumchlorid</w:t>
            </w:r>
          </w:p>
        </w:tc>
        <w:tc>
          <w:tcPr>
            <w:tcW w:w="3177"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H: -</w:t>
            </w:r>
          </w:p>
        </w:tc>
        <w:tc>
          <w:tcPr>
            <w:tcW w:w="3118"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P: -</w:t>
            </w:r>
          </w:p>
        </w:tc>
      </w:tr>
      <w:tr w:rsidR="008636A0" w:rsidRPr="009C5E28" w:rsidTr="00586BCE">
        <w:trPr>
          <w:trHeight w:val="434"/>
        </w:trPr>
        <w:tc>
          <w:tcPr>
            <w:tcW w:w="3027" w:type="dxa"/>
            <w:gridSpan w:val="3"/>
            <w:shd w:val="clear" w:color="auto" w:fill="auto"/>
            <w:vAlign w:val="center"/>
          </w:tcPr>
          <w:p w:rsidR="008636A0" w:rsidRPr="00AF5CCE" w:rsidRDefault="008636A0" w:rsidP="00586BCE">
            <w:pPr>
              <w:spacing w:after="0" w:line="276" w:lineRule="auto"/>
              <w:jc w:val="center"/>
              <w:rPr>
                <w:color w:val="auto"/>
                <w:sz w:val="20"/>
                <w:szCs w:val="20"/>
              </w:rPr>
            </w:pPr>
            <w:r>
              <w:rPr>
                <w:color w:val="auto"/>
                <w:sz w:val="20"/>
                <w:szCs w:val="20"/>
              </w:rPr>
              <w:t>Kaliumchlorid</w:t>
            </w:r>
          </w:p>
        </w:tc>
        <w:tc>
          <w:tcPr>
            <w:tcW w:w="3177"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H: -</w:t>
            </w:r>
          </w:p>
        </w:tc>
        <w:tc>
          <w:tcPr>
            <w:tcW w:w="3118"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P: -</w:t>
            </w:r>
          </w:p>
        </w:tc>
      </w:tr>
      <w:tr w:rsidR="008636A0" w:rsidRPr="009C5E28" w:rsidTr="00586BCE">
        <w:trPr>
          <w:trHeight w:val="434"/>
        </w:trPr>
        <w:tc>
          <w:tcPr>
            <w:tcW w:w="3027" w:type="dxa"/>
            <w:gridSpan w:val="3"/>
            <w:shd w:val="clear" w:color="auto" w:fill="auto"/>
            <w:vAlign w:val="center"/>
          </w:tcPr>
          <w:p w:rsidR="008636A0" w:rsidRDefault="008636A0" w:rsidP="00586BCE">
            <w:pPr>
              <w:spacing w:after="0" w:line="276" w:lineRule="auto"/>
              <w:jc w:val="center"/>
              <w:rPr>
                <w:color w:val="auto"/>
                <w:sz w:val="20"/>
                <w:szCs w:val="20"/>
              </w:rPr>
            </w:pPr>
            <w:r>
              <w:rPr>
                <w:color w:val="auto"/>
                <w:sz w:val="20"/>
                <w:szCs w:val="20"/>
              </w:rPr>
              <w:t>Lithiumchlorid</w:t>
            </w:r>
          </w:p>
        </w:tc>
        <w:tc>
          <w:tcPr>
            <w:tcW w:w="3177" w:type="dxa"/>
            <w:gridSpan w:val="3"/>
            <w:shd w:val="clear" w:color="auto" w:fill="auto"/>
            <w:vAlign w:val="center"/>
          </w:tcPr>
          <w:p w:rsidR="008636A0" w:rsidRPr="00AF5CCE" w:rsidRDefault="008636A0" w:rsidP="00586BCE">
            <w:pPr>
              <w:pStyle w:val="Beschriftung"/>
              <w:spacing w:after="0"/>
              <w:rPr>
                <w:sz w:val="20"/>
                <w:szCs w:val="20"/>
              </w:rPr>
            </w:pPr>
            <w:r>
              <w:rPr>
                <w:sz w:val="20"/>
                <w:szCs w:val="20"/>
              </w:rPr>
              <w:t>H: 302-315-319</w:t>
            </w:r>
          </w:p>
        </w:tc>
        <w:tc>
          <w:tcPr>
            <w:tcW w:w="3118" w:type="dxa"/>
            <w:gridSpan w:val="3"/>
            <w:shd w:val="clear" w:color="auto" w:fill="auto"/>
            <w:vAlign w:val="center"/>
          </w:tcPr>
          <w:p w:rsidR="008636A0" w:rsidRPr="00AF5CCE" w:rsidRDefault="008636A0" w:rsidP="00586BCE">
            <w:pPr>
              <w:pStyle w:val="Beschriftung"/>
              <w:spacing w:after="0"/>
              <w:rPr>
                <w:sz w:val="20"/>
                <w:szCs w:val="20"/>
              </w:rPr>
            </w:pPr>
            <w:r>
              <w:rPr>
                <w:sz w:val="20"/>
                <w:szCs w:val="20"/>
              </w:rPr>
              <w:t>P: 302+352-305+351+338</w:t>
            </w:r>
          </w:p>
        </w:tc>
      </w:tr>
      <w:tr w:rsidR="008636A0" w:rsidRPr="009C5E28" w:rsidTr="00586BCE">
        <w:trPr>
          <w:trHeight w:val="434"/>
        </w:trPr>
        <w:tc>
          <w:tcPr>
            <w:tcW w:w="3027" w:type="dxa"/>
            <w:gridSpan w:val="3"/>
            <w:shd w:val="clear" w:color="auto" w:fill="auto"/>
            <w:vAlign w:val="center"/>
          </w:tcPr>
          <w:p w:rsidR="008636A0" w:rsidRDefault="008636A0" w:rsidP="00586BCE">
            <w:pPr>
              <w:spacing w:after="0" w:line="276" w:lineRule="auto"/>
              <w:jc w:val="center"/>
              <w:rPr>
                <w:color w:val="auto"/>
                <w:sz w:val="20"/>
                <w:szCs w:val="20"/>
              </w:rPr>
            </w:pPr>
            <w:r>
              <w:rPr>
                <w:color w:val="auto"/>
                <w:sz w:val="20"/>
                <w:szCs w:val="20"/>
              </w:rPr>
              <w:t>Calciumchlorid</w:t>
            </w:r>
          </w:p>
        </w:tc>
        <w:tc>
          <w:tcPr>
            <w:tcW w:w="3177" w:type="dxa"/>
            <w:gridSpan w:val="3"/>
            <w:shd w:val="clear" w:color="auto" w:fill="auto"/>
            <w:vAlign w:val="center"/>
          </w:tcPr>
          <w:p w:rsidR="008636A0" w:rsidRDefault="008636A0" w:rsidP="00586BCE">
            <w:pPr>
              <w:pStyle w:val="Beschriftung"/>
              <w:spacing w:after="0"/>
              <w:rPr>
                <w:sz w:val="20"/>
                <w:szCs w:val="20"/>
              </w:rPr>
            </w:pPr>
            <w:r w:rsidRPr="00AF5CCE">
              <w:rPr>
                <w:sz w:val="20"/>
                <w:szCs w:val="20"/>
              </w:rPr>
              <w:t xml:space="preserve">H: </w:t>
            </w:r>
            <w:r>
              <w:rPr>
                <w:sz w:val="20"/>
                <w:szCs w:val="20"/>
              </w:rPr>
              <w:t>319</w:t>
            </w:r>
          </w:p>
        </w:tc>
        <w:tc>
          <w:tcPr>
            <w:tcW w:w="3118" w:type="dxa"/>
            <w:gridSpan w:val="3"/>
            <w:shd w:val="clear" w:color="auto" w:fill="auto"/>
            <w:vAlign w:val="center"/>
          </w:tcPr>
          <w:p w:rsidR="008636A0" w:rsidRDefault="008636A0" w:rsidP="00586BCE">
            <w:pPr>
              <w:pStyle w:val="Beschriftung"/>
              <w:spacing w:after="0"/>
              <w:rPr>
                <w:sz w:val="20"/>
                <w:szCs w:val="20"/>
              </w:rPr>
            </w:pPr>
            <w:r w:rsidRPr="00AF5CCE">
              <w:rPr>
                <w:sz w:val="20"/>
                <w:szCs w:val="20"/>
              </w:rPr>
              <w:t xml:space="preserve">P: </w:t>
            </w:r>
            <w:r>
              <w:rPr>
                <w:sz w:val="20"/>
                <w:szCs w:val="20"/>
              </w:rPr>
              <w:t>305+351+338</w:t>
            </w:r>
          </w:p>
        </w:tc>
      </w:tr>
      <w:tr w:rsidR="008636A0" w:rsidRPr="009C5E28" w:rsidTr="00586BCE">
        <w:trPr>
          <w:trHeight w:val="434"/>
        </w:trPr>
        <w:tc>
          <w:tcPr>
            <w:tcW w:w="3027" w:type="dxa"/>
            <w:gridSpan w:val="3"/>
            <w:shd w:val="clear" w:color="auto" w:fill="auto"/>
            <w:vAlign w:val="center"/>
          </w:tcPr>
          <w:p w:rsidR="008636A0" w:rsidRDefault="008636A0" w:rsidP="00586BCE">
            <w:pPr>
              <w:spacing w:after="0" w:line="276" w:lineRule="auto"/>
              <w:jc w:val="center"/>
              <w:rPr>
                <w:color w:val="auto"/>
                <w:sz w:val="20"/>
                <w:szCs w:val="20"/>
              </w:rPr>
            </w:pPr>
            <w:r>
              <w:rPr>
                <w:color w:val="auto"/>
                <w:sz w:val="20"/>
                <w:szCs w:val="20"/>
              </w:rPr>
              <w:t>Magnesiumsulfat</w:t>
            </w:r>
          </w:p>
        </w:tc>
        <w:tc>
          <w:tcPr>
            <w:tcW w:w="3177" w:type="dxa"/>
            <w:gridSpan w:val="3"/>
            <w:shd w:val="clear" w:color="auto" w:fill="auto"/>
            <w:vAlign w:val="center"/>
          </w:tcPr>
          <w:p w:rsidR="008636A0" w:rsidRDefault="008636A0" w:rsidP="00586BCE">
            <w:pPr>
              <w:pStyle w:val="Beschriftung"/>
              <w:spacing w:after="0"/>
              <w:rPr>
                <w:sz w:val="20"/>
                <w:szCs w:val="20"/>
              </w:rPr>
            </w:pPr>
            <w:r w:rsidRPr="00AF5CCE">
              <w:rPr>
                <w:sz w:val="20"/>
                <w:szCs w:val="20"/>
              </w:rPr>
              <w:t>H: -</w:t>
            </w:r>
          </w:p>
        </w:tc>
        <w:tc>
          <w:tcPr>
            <w:tcW w:w="3118" w:type="dxa"/>
            <w:gridSpan w:val="3"/>
            <w:shd w:val="clear" w:color="auto" w:fill="auto"/>
            <w:vAlign w:val="center"/>
          </w:tcPr>
          <w:p w:rsidR="008636A0" w:rsidRDefault="008636A0" w:rsidP="00586BCE">
            <w:pPr>
              <w:pStyle w:val="Beschriftung"/>
              <w:spacing w:after="0"/>
              <w:rPr>
                <w:sz w:val="20"/>
                <w:szCs w:val="20"/>
              </w:rPr>
            </w:pPr>
            <w:r w:rsidRPr="00AF5CCE">
              <w:rPr>
                <w:sz w:val="20"/>
                <w:szCs w:val="20"/>
              </w:rPr>
              <w:t>P: -</w:t>
            </w:r>
          </w:p>
        </w:tc>
      </w:tr>
      <w:tr w:rsidR="008636A0" w:rsidRPr="009C5E28" w:rsidTr="00586BCE">
        <w:trPr>
          <w:trHeight w:val="434"/>
        </w:trPr>
        <w:tc>
          <w:tcPr>
            <w:tcW w:w="3027" w:type="dxa"/>
            <w:gridSpan w:val="3"/>
            <w:shd w:val="clear" w:color="auto" w:fill="auto"/>
            <w:vAlign w:val="center"/>
          </w:tcPr>
          <w:p w:rsidR="008636A0" w:rsidRDefault="008636A0" w:rsidP="00586BCE">
            <w:pPr>
              <w:spacing w:after="0" w:line="276" w:lineRule="auto"/>
              <w:jc w:val="center"/>
              <w:rPr>
                <w:color w:val="auto"/>
                <w:sz w:val="20"/>
                <w:szCs w:val="20"/>
              </w:rPr>
            </w:pPr>
            <w:proofErr w:type="spellStart"/>
            <w:r>
              <w:rPr>
                <w:color w:val="auto"/>
                <w:sz w:val="20"/>
                <w:szCs w:val="20"/>
              </w:rPr>
              <w:t>demin</w:t>
            </w:r>
            <w:proofErr w:type="spellEnd"/>
            <w:r>
              <w:rPr>
                <w:color w:val="auto"/>
                <w:sz w:val="20"/>
                <w:szCs w:val="20"/>
              </w:rPr>
              <w:t>. Wasser</w:t>
            </w:r>
          </w:p>
        </w:tc>
        <w:tc>
          <w:tcPr>
            <w:tcW w:w="3177"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 xml:space="preserve">H: </w:t>
            </w:r>
            <w:r>
              <w:rPr>
                <w:sz w:val="20"/>
                <w:szCs w:val="20"/>
              </w:rPr>
              <w:t>-</w:t>
            </w:r>
          </w:p>
        </w:tc>
        <w:tc>
          <w:tcPr>
            <w:tcW w:w="3118" w:type="dxa"/>
            <w:gridSpan w:val="3"/>
            <w:shd w:val="clear" w:color="auto" w:fill="auto"/>
            <w:vAlign w:val="center"/>
          </w:tcPr>
          <w:p w:rsidR="008636A0" w:rsidRPr="00AF5CCE" w:rsidRDefault="008636A0" w:rsidP="00586BCE">
            <w:pPr>
              <w:pStyle w:val="Beschriftung"/>
              <w:spacing w:after="0"/>
              <w:rPr>
                <w:sz w:val="20"/>
                <w:szCs w:val="20"/>
              </w:rPr>
            </w:pPr>
            <w:r w:rsidRPr="00AF5CCE">
              <w:rPr>
                <w:sz w:val="20"/>
                <w:szCs w:val="20"/>
              </w:rPr>
              <w:t xml:space="preserve">P: </w:t>
            </w:r>
            <w:r>
              <w:rPr>
                <w:sz w:val="20"/>
                <w:szCs w:val="20"/>
              </w:rPr>
              <w:t>-</w:t>
            </w:r>
          </w:p>
        </w:tc>
      </w:tr>
      <w:tr w:rsidR="008636A0" w:rsidRPr="009C5E28" w:rsidTr="00586BCE">
        <w:tc>
          <w:tcPr>
            <w:tcW w:w="1009" w:type="dxa"/>
            <w:shd w:val="clear" w:color="auto" w:fill="auto"/>
            <w:vAlign w:val="center"/>
          </w:tcPr>
          <w:p w:rsidR="008636A0" w:rsidRPr="009C5E28" w:rsidRDefault="008636A0" w:rsidP="00586BCE">
            <w:pPr>
              <w:spacing w:after="0"/>
              <w:jc w:val="center"/>
              <w:rPr>
                <w:b/>
                <w:bCs/>
              </w:rPr>
            </w:pPr>
            <w:r>
              <w:rPr>
                <w:b/>
                <w:bCs/>
                <w:noProof/>
                <w:lang w:eastAsia="de-DE"/>
              </w:rPr>
              <w:drawing>
                <wp:inline distT="0" distB="0" distL="0" distR="0" wp14:anchorId="18598D0E" wp14:editId="3E850D48">
                  <wp:extent cx="501650" cy="501650"/>
                  <wp:effectExtent l="0" t="0" r="0" b="0"/>
                  <wp:docPr id="9" name="Bild 9"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tze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8636A0" w:rsidRPr="009C5E28" w:rsidRDefault="008636A0" w:rsidP="00586BCE">
            <w:pPr>
              <w:spacing w:after="0"/>
              <w:jc w:val="center"/>
            </w:pPr>
            <w:r>
              <w:rPr>
                <w:noProof/>
                <w:lang w:eastAsia="de-DE"/>
              </w:rPr>
              <w:drawing>
                <wp:inline distT="0" distB="0" distL="0" distR="0">
                  <wp:extent cx="501650" cy="501650"/>
                  <wp:effectExtent l="0" t="0" r="0" b="0"/>
                  <wp:docPr id="77" name="Grafik 77"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ndförder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115B49AB" wp14:editId="7625D5AC">
                  <wp:extent cx="501650" cy="501650"/>
                  <wp:effectExtent l="0" t="0" r="0" b="0"/>
                  <wp:docPr id="8" name="Bild 1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nn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24831C4D" wp14:editId="54E17057">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679FA68D" wp14:editId="72C54D1B">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162BF581" wp14:editId="2F761089">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5F6513DC" wp14:editId="43B7D2B0">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636A0" w:rsidRPr="009C5E28" w:rsidRDefault="008636A0" w:rsidP="00586BCE">
            <w:pPr>
              <w:spacing w:after="0"/>
              <w:jc w:val="center"/>
            </w:pPr>
            <w:r>
              <w:rPr>
                <w:noProof/>
                <w:lang w:eastAsia="de-DE"/>
              </w:rPr>
              <w:drawing>
                <wp:inline distT="0" distB="0" distL="0" distR="0">
                  <wp:extent cx="501650" cy="501650"/>
                  <wp:effectExtent l="0" t="0" r="0" b="0"/>
                  <wp:docPr id="76" name="Grafik 7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8636A0" w:rsidRPr="009C5E28" w:rsidRDefault="008636A0" w:rsidP="00586BCE">
            <w:pPr>
              <w:spacing w:after="0"/>
              <w:jc w:val="center"/>
            </w:pPr>
            <w:r>
              <w:rPr>
                <w:noProof/>
                <w:lang w:eastAsia="de-DE"/>
              </w:rPr>
              <w:drawing>
                <wp:inline distT="0" distB="0" distL="0" distR="0" wp14:anchorId="7E1A75C3" wp14:editId="5824B326">
                  <wp:extent cx="584200" cy="584200"/>
                  <wp:effectExtent l="0" t="0" r="0" b="0"/>
                  <wp:docPr id="6" name="Bild 1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weltgefah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8636A0" w:rsidRDefault="008636A0" w:rsidP="008636A0">
      <w:pPr>
        <w:tabs>
          <w:tab w:val="left" w:pos="1701"/>
          <w:tab w:val="left" w:pos="1985"/>
        </w:tabs>
        <w:ind w:left="1980" w:hanging="1980"/>
      </w:pPr>
    </w:p>
    <w:p w:rsidR="008636A0" w:rsidRDefault="008636A0" w:rsidP="008636A0">
      <w:pPr>
        <w:tabs>
          <w:tab w:val="left" w:pos="1701"/>
          <w:tab w:val="left" w:pos="1985"/>
        </w:tabs>
        <w:ind w:left="1980" w:hanging="1980"/>
      </w:pPr>
      <w:r>
        <w:t xml:space="preserve">Materialien: </w:t>
      </w:r>
      <w:r>
        <w:tab/>
      </w:r>
      <w:r>
        <w:tab/>
        <w:t xml:space="preserve">Spannungsquelle, Leitfähigkeitsprüfer, Kabel, 2 Multimeter, 7 Bechergläser (100 mL), </w:t>
      </w:r>
    </w:p>
    <w:p w:rsidR="008636A0" w:rsidRDefault="008636A0" w:rsidP="008636A0">
      <w:pPr>
        <w:tabs>
          <w:tab w:val="left" w:pos="1701"/>
          <w:tab w:val="left" w:pos="1985"/>
        </w:tabs>
        <w:ind w:left="1980" w:hanging="1980"/>
      </w:pPr>
      <w:r>
        <w:rPr>
          <w:noProof/>
          <w:highlight w:val="yellow"/>
          <w:lang w:eastAsia="de-DE"/>
        </w:rPr>
        <w:drawing>
          <wp:anchor distT="0" distB="0" distL="114300" distR="114300" simplePos="0" relativeHeight="251660288" behindDoc="0" locked="0" layoutInCell="1" allowOverlap="1" wp14:anchorId="12F995A5" wp14:editId="0BEE9072">
            <wp:simplePos x="0" y="0"/>
            <wp:positionH relativeFrom="margin">
              <wp:posOffset>1372235</wp:posOffset>
            </wp:positionH>
            <wp:positionV relativeFrom="paragraph">
              <wp:posOffset>586105</wp:posOffset>
            </wp:positionV>
            <wp:extent cx="3016250" cy="1797050"/>
            <wp:effectExtent l="0" t="0" r="0" b="0"/>
            <wp:wrapNone/>
            <wp:docPr id="7" name="Grafik 7" descr="C:\Users\Adrian\AppData\Local\Microsoft\Windows\INetCache\Content.Word\Abhängigkeit der Leitfähigk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rian\AppData\Local\Microsoft\Windows\INetCache\Content.Word\Abhängigkeit der Leitfähigkei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625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t>Chemikalien:</w:t>
      </w:r>
      <w:r>
        <w:tab/>
      </w:r>
      <w:r>
        <w:tab/>
        <w:t>0,05 M Lösungen der Salze Natrium-, Kalium-, Lithium-, Calciumchlorid und Magnesiumsulfat, 0,1 M und 0,01 M Natriumchloridlösung</w:t>
      </w:r>
    </w:p>
    <w:p w:rsidR="008636A0" w:rsidRDefault="008636A0" w:rsidP="008636A0">
      <w:pPr>
        <w:tabs>
          <w:tab w:val="left" w:pos="1701"/>
          <w:tab w:val="left" w:pos="1985"/>
        </w:tabs>
        <w:ind w:left="1980" w:hanging="1980"/>
        <w:rPr>
          <w:highlight w:val="yellow"/>
        </w:rPr>
      </w:pPr>
      <w:r>
        <w:t>Aufbau:</w:t>
      </w:r>
      <w:r>
        <w:tab/>
      </w:r>
      <w:r>
        <w:tab/>
      </w:r>
    </w:p>
    <w:p w:rsidR="008636A0" w:rsidRDefault="008636A0" w:rsidP="008636A0">
      <w:pPr>
        <w:tabs>
          <w:tab w:val="left" w:pos="1701"/>
          <w:tab w:val="left" w:pos="1985"/>
        </w:tabs>
        <w:ind w:left="1980" w:hanging="1980"/>
      </w:pPr>
    </w:p>
    <w:p w:rsidR="008636A0" w:rsidRDefault="008636A0" w:rsidP="008636A0">
      <w:pPr>
        <w:tabs>
          <w:tab w:val="left" w:pos="1701"/>
          <w:tab w:val="left" w:pos="1985"/>
        </w:tabs>
        <w:ind w:left="1980" w:hanging="1980"/>
      </w:pPr>
    </w:p>
    <w:p w:rsidR="008636A0" w:rsidRPr="00ED07C2" w:rsidRDefault="008636A0" w:rsidP="008636A0">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5A280D0D" wp14:editId="4D8988EF">
                <wp:simplePos x="0" y="0"/>
                <wp:positionH relativeFrom="margin">
                  <wp:align>center</wp:align>
                </wp:positionH>
                <wp:positionV relativeFrom="paragraph">
                  <wp:posOffset>728980</wp:posOffset>
                </wp:positionV>
                <wp:extent cx="3663950" cy="635"/>
                <wp:effectExtent l="0" t="0" r="0" b="5715"/>
                <wp:wrapNone/>
                <wp:docPr id="19" name="Textfeld 19"/>
                <wp:cNvGraphicFramePr/>
                <a:graphic xmlns:a="http://schemas.openxmlformats.org/drawingml/2006/main">
                  <a:graphicData uri="http://schemas.microsoft.com/office/word/2010/wordprocessingShape">
                    <wps:wsp>
                      <wps:cNvSpPr txBox="1"/>
                      <wps:spPr>
                        <a:xfrm>
                          <a:off x="0" y="0"/>
                          <a:ext cx="3663950" cy="635"/>
                        </a:xfrm>
                        <a:prstGeom prst="rect">
                          <a:avLst/>
                        </a:prstGeom>
                        <a:solidFill>
                          <a:prstClr val="white"/>
                        </a:solidFill>
                        <a:ln>
                          <a:noFill/>
                        </a:ln>
                      </wps:spPr>
                      <wps:txbx>
                        <w:txbxContent>
                          <w:p w:rsidR="008636A0" w:rsidRPr="005F16F9" w:rsidRDefault="008636A0" w:rsidP="008636A0">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Versuchsaufbau zu V2 – Abhängigkeit der Leitfähigkeit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280D0D" id="Textfeld 19" o:spid="_x0000_s1027" type="#_x0000_t202" style="position:absolute;left:0;text-align:left;margin-left:0;margin-top:57.4pt;width:288.5pt;height:.0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" stroked="f">
                <v:textbox style="mso-fit-shape-to-text:t" inset="0,0,0,0">
                  <w:txbxContent>
                    <w:p w:rsidR="008636A0" w:rsidRPr="005F16F9" w:rsidRDefault="008636A0" w:rsidP="008636A0">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Versuchsaufbau zu V2 – Abhängigkeit der Leitfähigkeit</w:t>
                      </w:r>
                    </w:p>
                  </w:txbxContent>
                </v:textbox>
                <w10:wrap anchorx="margin"/>
              </v:shape>
            </w:pict>
          </mc:Fallback>
        </mc:AlternateContent>
      </w:r>
    </w:p>
    <w:p w:rsidR="008636A0" w:rsidRDefault="008636A0" w:rsidP="008636A0">
      <w:pPr>
        <w:tabs>
          <w:tab w:val="left" w:pos="1701"/>
          <w:tab w:val="left" w:pos="1985"/>
        </w:tabs>
        <w:ind w:left="1980" w:hanging="1980"/>
      </w:pPr>
      <w:r>
        <w:lastRenderedPageBreak/>
        <w:t>Durchführung:</w:t>
      </w:r>
      <w:r>
        <w:tab/>
      </w:r>
      <w:r>
        <w:tab/>
        <w:t>Es werden 50 mL der genannten Metallsalzlösungen in jeweils ein Becherglas gegeben und die Leitfähigkeit der Lösungen gemessen. Dafür wird der Leitfähigkeitsprüfer über die Kabel mit der Spannungsquelle (max. 6 V, Wechselstrom) verbunden, ein Multimeter für die Spannungsmessung parallel und eines zur Messung der Stromstärke in Reihe geschaltet.</w:t>
      </w:r>
    </w:p>
    <w:p w:rsidR="008636A0" w:rsidRDefault="008636A0" w:rsidP="008636A0">
      <w:pPr>
        <w:tabs>
          <w:tab w:val="left" w:pos="1701"/>
          <w:tab w:val="left" w:pos="1985"/>
        </w:tabs>
        <w:ind w:left="1980" w:hanging="1980"/>
      </w:pPr>
      <w:r>
        <w:t>Beobachtung:</w:t>
      </w:r>
      <w:r>
        <w:tab/>
      </w:r>
      <w:r>
        <w:tab/>
        <w:t xml:space="preserve">Die Spannung aller Messungen bleibt nahezu gleich, aber die gemessenen Stromstärken weichen zwischen den Lösungen ab. In </w:t>
      </w:r>
      <w:r>
        <w:fldChar w:fldCharType="begin"/>
      </w:r>
      <w:r>
        <w:instrText xml:space="preserve"> REF _Ref457763070 \h </w:instrText>
      </w:r>
      <w:r>
        <w:fldChar w:fldCharType="separate"/>
      </w:r>
      <w:r>
        <w:t xml:space="preserve">Tabelle </w:t>
      </w:r>
      <w:r>
        <w:rPr>
          <w:noProof/>
        </w:rPr>
        <w:t>1</w:t>
      </w:r>
      <w:r>
        <w:fldChar w:fldCharType="end"/>
      </w:r>
      <w:r>
        <w:t xml:space="preserve"> sind die Messwerte protokolliert.</w:t>
      </w:r>
    </w:p>
    <w:p w:rsidR="008636A0" w:rsidRDefault="008636A0" w:rsidP="008636A0">
      <w:pPr>
        <w:pStyle w:val="Beschriftung"/>
        <w:keepNext/>
      </w:pPr>
      <w:bookmarkStart w:id="2" w:name="_Ref457763070"/>
      <w:r>
        <w:t xml:space="preserve">Tabelle </w:t>
      </w:r>
      <w:r>
        <w:fldChar w:fldCharType="begin"/>
      </w:r>
      <w:r>
        <w:instrText xml:space="preserve"> SEQ Tabelle \* ARABIC </w:instrText>
      </w:r>
      <w:r>
        <w:fldChar w:fldCharType="separate"/>
      </w:r>
      <w:r>
        <w:rPr>
          <w:noProof/>
        </w:rPr>
        <w:t>1</w:t>
      </w:r>
      <w:r>
        <w:rPr>
          <w:noProof/>
        </w:rPr>
        <w:fldChar w:fldCharType="end"/>
      </w:r>
      <w:bookmarkEnd w:id="2"/>
      <w:r>
        <w:t>: Wertetabelle der Messungen von Spannung und Stromstärke verschiedener Metallsalzlösungen.</w:t>
      </w:r>
    </w:p>
    <w:tbl>
      <w:tblPr>
        <w:tblStyle w:val="Gitternetztabelle1hell"/>
        <w:tblW w:w="0" w:type="auto"/>
        <w:jc w:val="center"/>
        <w:tblLook w:val="04A0" w:firstRow="1" w:lastRow="0" w:firstColumn="1" w:lastColumn="0" w:noHBand="0" w:noVBand="1"/>
      </w:tblPr>
      <w:tblGrid>
        <w:gridCol w:w="1952"/>
        <w:gridCol w:w="1687"/>
        <w:gridCol w:w="1223"/>
        <w:gridCol w:w="1480"/>
      </w:tblGrid>
      <w:tr w:rsidR="008636A0" w:rsidTr="00586B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tcPr>
          <w:p w:rsidR="008636A0" w:rsidRDefault="008636A0" w:rsidP="00586BCE">
            <w:pPr>
              <w:tabs>
                <w:tab w:val="left" w:pos="1701"/>
                <w:tab w:val="left" w:pos="1985"/>
              </w:tabs>
              <w:jc w:val="center"/>
            </w:pPr>
            <w:r>
              <w:t>Salz</w:t>
            </w:r>
          </w:p>
        </w:tc>
        <w:tc>
          <w:tcPr>
            <w:tcW w:w="0" w:type="auto"/>
            <w:tcBorders>
              <w:bottom w:val="none" w:sz="0" w:space="0" w:color="auto"/>
            </w:tcBorders>
            <w:vAlign w:val="center"/>
          </w:tcPr>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t>Konzentration</w:t>
            </w:r>
          </w:p>
          <w:p w:rsidR="008636A0" w:rsidRPr="00215195"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rsidRPr="00215195">
              <w:rPr>
                <w:i/>
              </w:rPr>
              <w:t>c</w:t>
            </w:r>
            <w:r>
              <w:t xml:space="preserve"> [</w:t>
            </w:r>
            <w:proofErr w:type="spellStart"/>
            <w:r>
              <w:t>mol</w:t>
            </w:r>
            <w:proofErr w:type="spellEnd"/>
            <w:r>
              <w:t>/L]</w:t>
            </w:r>
          </w:p>
        </w:tc>
        <w:tc>
          <w:tcPr>
            <w:tcW w:w="0" w:type="auto"/>
            <w:tcBorders>
              <w:bottom w:val="none" w:sz="0" w:space="0" w:color="auto"/>
            </w:tcBorders>
            <w:vAlign w:val="center"/>
          </w:tcPr>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t>Spannung</w:t>
            </w:r>
          </w:p>
          <w:p w:rsidR="008636A0" w:rsidRPr="00215195"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rsidRPr="00215195">
              <w:rPr>
                <w:i/>
              </w:rPr>
              <w:t>U</w:t>
            </w:r>
            <w:r>
              <w:t xml:space="preserve"> [V]</w:t>
            </w:r>
          </w:p>
        </w:tc>
        <w:tc>
          <w:tcPr>
            <w:tcW w:w="0" w:type="auto"/>
            <w:tcBorders>
              <w:bottom w:val="none" w:sz="0" w:space="0" w:color="auto"/>
            </w:tcBorders>
            <w:vAlign w:val="center"/>
          </w:tcPr>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t>Stromstärke</w:t>
            </w:r>
          </w:p>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rsidRPr="00215195">
              <w:rPr>
                <w:i/>
              </w:rPr>
              <w:t>I</w:t>
            </w:r>
            <w:r>
              <w:t xml:space="preserve"> [mA]</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8636A0" w:rsidRDefault="008636A0" w:rsidP="00586BCE">
            <w:pPr>
              <w:tabs>
                <w:tab w:val="left" w:pos="1701"/>
                <w:tab w:val="left" w:pos="1985"/>
              </w:tabs>
              <w:jc w:val="center"/>
            </w:pPr>
            <w:r>
              <w:t>Natriumchlorid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0,1</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36,3</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636A0" w:rsidRDefault="008636A0" w:rsidP="00586BCE">
            <w:pPr>
              <w:tabs>
                <w:tab w:val="left" w:pos="1701"/>
                <w:tab w:val="left" w:pos="1985"/>
              </w:tabs>
              <w:jc w:val="center"/>
            </w:pP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4,88</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22,2</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636A0" w:rsidRDefault="008636A0" w:rsidP="00586BCE">
            <w:pPr>
              <w:tabs>
                <w:tab w:val="left" w:pos="1701"/>
                <w:tab w:val="left" w:pos="1985"/>
              </w:tabs>
              <w:jc w:val="center"/>
            </w:pP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0,01</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4,92</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5,15</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Kaliumchlorid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4,86</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27,7</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Lithiumchlorid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4,89</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16,3</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Calciumchlorid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4,84</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36,5</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Magnesiumsulfat</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4,86</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38,1</w:t>
            </w:r>
          </w:p>
        </w:tc>
      </w:tr>
    </w:tbl>
    <w:p w:rsidR="008636A0" w:rsidRDefault="008636A0" w:rsidP="008636A0">
      <w:pPr>
        <w:tabs>
          <w:tab w:val="left" w:pos="1701"/>
          <w:tab w:val="left" w:pos="1985"/>
        </w:tabs>
        <w:ind w:left="1980" w:hanging="1980"/>
      </w:pPr>
      <w:r>
        <w:tab/>
      </w:r>
      <w:r>
        <w:tab/>
      </w:r>
    </w:p>
    <w:p w:rsidR="008636A0" w:rsidRDefault="008636A0" w:rsidP="008636A0">
      <w:pPr>
        <w:tabs>
          <w:tab w:val="left" w:pos="1276"/>
          <w:tab w:val="left" w:pos="1985"/>
        </w:tabs>
        <w:ind w:left="1985" w:hanging="1985"/>
      </w:pPr>
      <w:r>
        <w:t>Deutung:</w:t>
      </w:r>
      <w:r>
        <w:tab/>
      </w:r>
      <w:r>
        <w:tab/>
        <w:t xml:space="preserve">Zum Vergleich der Leitfähigkeit der verschiedenen Metallsalzlösungen kann der Leitwert </w:t>
      </w:r>
      <w:r w:rsidRPr="00E93DE0">
        <w:rPr>
          <w:i/>
        </w:rPr>
        <w:t>G</w:t>
      </w:r>
      <w:r>
        <w:t xml:space="preserve"> ermittelt werden.</w:t>
      </w:r>
    </w:p>
    <w:p w:rsidR="008636A0" w:rsidRDefault="008636A0" w:rsidP="008636A0">
      <w:pPr>
        <w:tabs>
          <w:tab w:val="left" w:pos="1276"/>
          <w:tab w:val="left" w:pos="1985"/>
        </w:tabs>
        <w:ind w:left="1985" w:hanging="1985"/>
      </w:pPr>
      <m:oMathPara>
        <m:oMath>
          <m:r>
            <w:rPr>
              <w:rFonts w:ascii="Cambria Math" w:hAnsi="Cambria Math"/>
            </w:rPr>
            <m:t>G [</m:t>
          </m:r>
          <m:r>
            <m:rPr>
              <m:sty m:val="p"/>
            </m:rPr>
            <w:rPr>
              <w:rFonts w:ascii="Cambria Math" w:hAnsi="Cambria Math"/>
            </w:rPr>
            <m:t>mS</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r>
                <m:rPr>
                  <m:sty m:val="p"/>
                </m:rPr>
                <w:rPr>
                  <w:rFonts w:ascii="Cambria Math" w:hAnsi="Cambria Math"/>
                </w:rPr>
                <m:t xml:space="preserve"> [Ω∙</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I</m:t>
              </m:r>
              <m:r>
                <m:rPr>
                  <m:sty m:val="p"/>
                </m:rPr>
                <w:rPr>
                  <w:rFonts w:ascii="Cambria Math" w:hAnsi="Cambria Math"/>
                </w:rPr>
                <m:t xml:space="preserve"> [mA]</m:t>
              </m:r>
            </m:num>
            <m:den>
              <m:r>
                <w:rPr>
                  <w:rFonts w:ascii="Cambria Math" w:hAnsi="Cambria Math"/>
                </w:rPr>
                <m:t>U</m:t>
              </m:r>
              <m:r>
                <m:rPr>
                  <m:sty m:val="p"/>
                </m:rPr>
                <w:rPr>
                  <w:rFonts w:ascii="Cambria Math" w:hAnsi="Cambria Math"/>
                </w:rPr>
                <m:t xml:space="preserve"> [V]</m:t>
              </m:r>
            </m:den>
          </m:f>
        </m:oMath>
      </m:oMathPara>
    </w:p>
    <w:p w:rsidR="008636A0" w:rsidRDefault="008636A0" w:rsidP="008636A0">
      <w:pPr>
        <w:tabs>
          <w:tab w:val="left" w:pos="1276"/>
          <w:tab w:val="left" w:pos="1985"/>
        </w:tabs>
        <w:ind w:left="1985" w:hanging="1985"/>
      </w:pPr>
      <w:r>
        <w:tab/>
      </w:r>
      <w:r>
        <w:tab/>
        <w:t xml:space="preserve">Die berechneten Werte sind in </w:t>
      </w:r>
      <w:r>
        <w:fldChar w:fldCharType="begin"/>
      </w:r>
      <w:r>
        <w:instrText xml:space="preserve"> REF _Ref457763498 \h </w:instrText>
      </w:r>
      <w:r>
        <w:fldChar w:fldCharType="separate"/>
      </w:r>
      <w:r>
        <w:t xml:space="preserve">Tabelle </w:t>
      </w:r>
      <w:r>
        <w:rPr>
          <w:noProof/>
        </w:rPr>
        <w:t>2</w:t>
      </w:r>
      <w:r>
        <w:fldChar w:fldCharType="end"/>
      </w:r>
      <w:r>
        <w:t xml:space="preserve"> aufgeführt. Anhand dieser Werte werden dann die Abhängigkeiten der Leitfähigkeit erfasst.</w:t>
      </w:r>
    </w:p>
    <w:p w:rsidR="008636A0" w:rsidRDefault="008636A0" w:rsidP="008636A0">
      <w:pPr>
        <w:spacing w:line="276" w:lineRule="auto"/>
        <w:jc w:val="left"/>
      </w:pPr>
      <w:r>
        <w:br w:type="page"/>
      </w:r>
    </w:p>
    <w:p w:rsidR="008636A0" w:rsidRDefault="008636A0" w:rsidP="008636A0">
      <w:pPr>
        <w:pStyle w:val="Beschriftung"/>
        <w:keepNext/>
      </w:pPr>
      <w:bookmarkStart w:id="3" w:name="_Ref457763498"/>
      <w:r>
        <w:lastRenderedPageBreak/>
        <w:t xml:space="preserve">Tabelle </w:t>
      </w:r>
      <w:r>
        <w:fldChar w:fldCharType="begin"/>
      </w:r>
      <w:r>
        <w:instrText xml:space="preserve"> SEQ Tabelle \* ARABIC </w:instrText>
      </w:r>
      <w:r>
        <w:fldChar w:fldCharType="separate"/>
      </w:r>
      <w:r>
        <w:rPr>
          <w:noProof/>
        </w:rPr>
        <w:t>2</w:t>
      </w:r>
      <w:r>
        <w:rPr>
          <w:noProof/>
        </w:rPr>
        <w:fldChar w:fldCharType="end"/>
      </w:r>
      <w:bookmarkEnd w:id="3"/>
      <w:r>
        <w:t>: Leitwerte der verwendeten Metallsalzlösungen.</w:t>
      </w:r>
    </w:p>
    <w:tbl>
      <w:tblPr>
        <w:tblStyle w:val="Gitternetztabelle1hell"/>
        <w:tblW w:w="0" w:type="auto"/>
        <w:jc w:val="center"/>
        <w:tblLook w:val="04A0" w:firstRow="1" w:lastRow="0" w:firstColumn="1" w:lastColumn="0" w:noHBand="0" w:noVBand="1"/>
      </w:tblPr>
      <w:tblGrid>
        <w:gridCol w:w="1952"/>
        <w:gridCol w:w="1687"/>
        <w:gridCol w:w="1078"/>
      </w:tblGrid>
      <w:tr w:rsidR="008636A0" w:rsidTr="00586B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tcPr>
          <w:p w:rsidR="008636A0" w:rsidRDefault="008636A0" w:rsidP="00586BCE">
            <w:pPr>
              <w:tabs>
                <w:tab w:val="left" w:pos="1701"/>
                <w:tab w:val="left" w:pos="1985"/>
              </w:tabs>
              <w:jc w:val="center"/>
            </w:pPr>
            <w:r>
              <w:t>Salz</w:t>
            </w:r>
          </w:p>
        </w:tc>
        <w:tc>
          <w:tcPr>
            <w:tcW w:w="0" w:type="auto"/>
            <w:tcBorders>
              <w:bottom w:val="none" w:sz="0" w:space="0" w:color="auto"/>
            </w:tcBorders>
            <w:vAlign w:val="center"/>
          </w:tcPr>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t>Konzentration</w:t>
            </w:r>
          </w:p>
          <w:p w:rsidR="008636A0" w:rsidRPr="00215195"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rsidRPr="00215195">
              <w:rPr>
                <w:i/>
              </w:rPr>
              <w:t>c</w:t>
            </w:r>
            <w:r>
              <w:t xml:space="preserve"> [</w:t>
            </w:r>
            <w:proofErr w:type="spellStart"/>
            <w:r>
              <w:t>mol</w:t>
            </w:r>
            <w:proofErr w:type="spellEnd"/>
            <w:r>
              <w:t>/L]</w:t>
            </w:r>
          </w:p>
        </w:tc>
        <w:tc>
          <w:tcPr>
            <w:tcW w:w="0" w:type="auto"/>
            <w:tcBorders>
              <w:bottom w:val="none" w:sz="0" w:space="0" w:color="auto"/>
            </w:tcBorders>
            <w:vAlign w:val="center"/>
          </w:tcPr>
          <w:p w:rsidR="008636A0"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t>Leitwert</w:t>
            </w:r>
          </w:p>
          <w:p w:rsidR="008636A0" w:rsidRPr="00215195" w:rsidRDefault="008636A0" w:rsidP="00586BCE">
            <w:pPr>
              <w:tabs>
                <w:tab w:val="left" w:pos="1701"/>
                <w:tab w:val="left" w:pos="1985"/>
              </w:tabs>
              <w:jc w:val="center"/>
              <w:cnfStyle w:val="100000000000" w:firstRow="1" w:lastRow="0" w:firstColumn="0" w:lastColumn="0" w:oddVBand="0" w:evenVBand="0" w:oddHBand="0" w:evenHBand="0" w:firstRowFirstColumn="0" w:firstRowLastColumn="0" w:lastRowFirstColumn="0" w:lastRowLastColumn="0"/>
            </w:pPr>
            <w:r w:rsidRPr="00E55E48">
              <w:rPr>
                <w:i/>
              </w:rPr>
              <w:t>G</w:t>
            </w:r>
            <w:r>
              <w:t xml:space="preserve"> [</w:t>
            </w:r>
            <w:proofErr w:type="spellStart"/>
            <w:r>
              <w:t>mS</w:t>
            </w:r>
            <w:proofErr w:type="spellEnd"/>
            <w:r>
              <w:t>]</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8636A0" w:rsidRDefault="008636A0" w:rsidP="00586BCE">
            <w:pPr>
              <w:tabs>
                <w:tab w:val="left" w:pos="1701"/>
                <w:tab w:val="left" w:pos="1985"/>
              </w:tabs>
              <w:jc w:val="center"/>
            </w:pPr>
            <w:r>
              <w:t>Natriumchlorid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0,1</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7,48</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636A0" w:rsidRDefault="008636A0" w:rsidP="00586BCE">
            <w:pPr>
              <w:tabs>
                <w:tab w:val="left" w:pos="1701"/>
                <w:tab w:val="left" w:pos="1985"/>
              </w:tabs>
              <w:jc w:val="center"/>
            </w:pP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4,5</w:t>
            </w:r>
            <w:r>
              <w:t>5</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636A0" w:rsidRDefault="008636A0" w:rsidP="00586BCE">
            <w:pPr>
              <w:tabs>
                <w:tab w:val="left" w:pos="1701"/>
                <w:tab w:val="left" w:pos="1985"/>
              </w:tabs>
              <w:jc w:val="center"/>
            </w:pP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0,01</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1,0</w:t>
            </w:r>
            <w:r>
              <w:t>5</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Kaliumchlorid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5,</w:t>
            </w:r>
            <w:r>
              <w:t>70</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Lithiumchlorid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3,33</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Calciumchlorid</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7,54</w:t>
            </w:r>
          </w:p>
        </w:tc>
      </w:tr>
      <w:tr w:rsidR="008636A0" w:rsidTr="00586BC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636A0" w:rsidRDefault="008636A0" w:rsidP="00586BCE">
            <w:pPr>
              <w:tabs>
                <w:tab w:val="left" w:pos="1701"/>
                <w:tab w:val="left" w:pos="1985"/>
              </w:tabs>
              <w:jc w:val="center"/>
            </w:pPr>
            <w:r>
              <w:t>Magnesiumsulfat</w:t>
            </w:r>
          </w:p>
        </w:tc>
        <w:tc>
          <w:tcPr>
            <w:tcW w:w="0" w:type="auto"/>
            <w:vAlign w:val="center"/>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t>0,05</w:t>
            </w:r>
          </w:p>
        </w:tc>
        <w:tc>
          <w:tcPr>
            <w:tcW w:w="0" w:type="auto"/>
          </w:tcPr>
          <w:p w:rsidR="008636A0" w:rsidRDefault="008636A0" w:rsidP="00586BCE">
            <w:pPr>
              <w:tabs>
                <w:tab w:val="left" w:pos="1701"/>
                <w:tab w:val="left" w:pos="1985"/>
              </w:tabs>
              <w:jc w:val="center"/>
              <w:cnfStyle w:val="000000000000" w:firstRow="0" w:lastRow="0" w:firstColumn="0" w:lastColumn="0" w:oddVBand="0" w:evenVBand="0" w:oddHBand="0" w:evenHBand="0" w:firstRowFirstColumn="0" w:firstRowLastColumn="0" w:lastRowFirstColumn="0" w:lastRowLastColumn="0"/>
            </w:pPr>
            <w:r w:rsidRPr="00381D15">
              <w:t>7,8</w:t>
            </w:r>
            <w:r>
              <w:t>4</w:t>
            </w:r>
          </w:p>
        </w:tc>
      </w:tr>
    </w:tbl>
    <w:p w:rsidR="008636A0" w:rsidRDefault="008636A0" w:rsidP="008636A0">
      <w:pPr>
        <w:tabs>
          <w:tab w:val="left" w:pos="1276"/>
          <w:tab w:val="left" w:pos="1985"/>
        </w:tabs>
        <w:ind w:left="1985" w:hanging="1985"/>
      </w:pPr>
      <w:r>
        <w:tab/>
      </w:r>
      <w:r>
        <w:tab/>
      </w:r>
    </w:p>
    <w:p w:rsidR="008636A0" w:rsidRDefault="008636A0" w:rsidP="008636A0">
      <w:pPr>
        <w:tabs>
          <w:tab w:val="left" w:pos="1276"/>
          <w:tab w:val="left" w:pos="1985"/>
        </w:tabs>
        <w:ind w:left="1985" w:hanging="1985"/>
      </w:pPr>
      <w:r>
        <w:tab/>
      </w:r>
      <w:r>
        <w:tab/>
        <w:t xml:space="preserve">Es zeigt sich aus den ermittelten Werten unterschiedlicher Konzentrationen der </w:t>
      </w:r>
      <w:proofErr w:type="spellStart"/>
      <w:r>
        <w:t>Natriumchloridlösungen</w:t>
      </w:r>
      <w:proofErr w:type="spellEnd"/>
      <w:r>
        <w:t>, dass die Leitfähigkeit von der Konzentration abhängig ist. Je konzentrierter die Lösung, desto größer ist der Leitwert einer Lösung, da mehr Ionen vorhanden sind.</w:t>
      </w:r>
    </w:p>
    <w:p w:rsidR="008636A0" w:rsidRDefault="008636A0" w:rsidP="008636A0">
      <w:pPr>
        <w:tabs>
          <w:tab w:val="left" w:pos="1276"/>
          <w:tab w:val="left" w:pos="1985"/>
        </w:tabs>
        <w:ind w:left="1985" w:hanging="1985"/>
      </w:pPr>
      <w:r>
        <w:tab/>
      </w:r>
      <w:r>
        <w:tab/>
        <w:t xml:space="preserve">Im Vergleich der </w:t>
      </w:r>
      <w:proofErr w:type="spellStart"/>
      <w:r>
        <w:t>Alkalichloridlösungen</w:t>
      </w:r>
      <w:proofErr w:type="spellEnd"/>
      <w:r>
        <w:t xml:space="preserve"> gleicher Konzentration zeigt sich anhand der Kationen die Abhängigkeit der Leitfähigkeit von der Größe der Ionen. Erwartungsgemäß sollten kleinere Ionen schneller durch die Lösung diffundieren können, doch es zeigt sich, dass die Lithiumlösung einen geringeren Leitwert besitzt, als die Natrium- oder Kaliumlösung. Letztere besitzt den größten Leitwert, obwohl der Ionenradius von </w:t>
      </w:r>
      <w:proofErr w:type="spellStart"/>
      <w:r>
        <w:t>Kaliumionen</w:t>
      </w:r>
      <w:proofErr w:type="spellEnd"/>
      <w:r>
        <w:t xml:space="preserve"> größer ist, als der von Natrium- und </w:t>
      </w:r>
      <w:proofErr w:type="spellStart"/>
      <w:r>
        <w:t>Lithiumionen</w:t>
      </w:r>
      <w:proofErr w:type="spellEnd"/>
      <w:r>
        <w:t>. Die Ionenbeweglichkeit wird bestimmt über die Größe der Hydrathülle, wobei Ionen mit einem kleinen Radius eine größere Hydrathülle bilden und damit langsamer durch Lösungen diffundieren.</w:t>
      </w:r>
      <w:r>
        <w:rPr>
          <w:rStyle w:val="Funotenzeichen"/>
        </w:rPr>
        <w:footnoteReference w:id="1"/>
      </w:r>
    </w:p>
    <w:p w:rsidR="008636A0" w:rsidRDefault="008636A0" w:rsidP="008636A0">
      <w:pPr>
        <w:tabs>
          <w:tab w:val="left" w:pos="1276"/>
          <w:tab w:val="left" w:pos="1985"/>
        </w:tabs>
        <w:ind w:left="1985" w:hanging="1985"/>
      </w:pPr>
      <w:r>
        <w:tab/>
      </w:r>
      <w:r>
        <w:tab/>
        <w:t xml:space="preserve">Die Werte der </w:t>
      </w:r>
      <w:proofErr w:type="spellStart"/>
      <w:r>
        <w:t>Calciumchloridlösung</w:t>
      </w:r>
      <w:proofErr w:type="spellEnd"/>
      <w:r>
        <w:t xml:space="preserve"> zeigen eine größere Leitfähigkeit, als die der übrigen </w:t>
      </w:r>
      <w:proofErr w:type="spellStart"/>
      <w:r>
        <w:t>Chloridsalze</w:t>
      </w:r>
      <w:proofErr w:type="spellEnd"/>
      <w:r>
        <w:t xml:space="preserve">, da hier pro Mol Calcium zwei Mol </w:t>
      </w:r>
      <w:proofErr w:type="spellStart"/>
      <w:r>
        <w:t>Chloridionen</w:t>
      </w:r>
      <w:proofErr w:type="spellEnd"/>
      <w:r>
        <w:t xml:space="preserve"> gelöst vorliegen. Damit hängt die Leitfähigkeit von der Zahl der gelösten Ionen ab.</w:t>
      </w:r>
    </w:p>
    <w:p w:rsidR="008636A0" w:rsidRDefault="008636A0" w:rsidP="008636A0">
      <w:pPr>
        <w:tabs>
          <w:tab w:val="left" w:pos="1276"/>
          <w:tab w:val="left" w:pos="1985"/>
        </w:tabs>
        <w:ind w:left="1985" w:hanging="1985"/>
      </w:pPr>
      <w:r>
        <w:lastRenderedPageBreak/>
        <w:tab/>
      </w:r>
      <w:r>
        <w:tab/>
        <w:t xml:space="preserve">Auch die Ladung der Ionen in Lösung beeinflusst die Leitfähigkeit. Magnesium- und Calciumkationen sind zweifach positiv geladen und das </w:t>
      </w:r>
      <w:proofErr w:type="spellStart"/>
      <w:r>
        <w:t>Sulfatanion</w:t>
      </w:r>
      <w:proofErr w:type="spellEnd"/>
      <w:r>
        <w:t xml:space="preserve"> zweifach negativ. Ionen mit höherer Ladung werden stärker von den Elektroden angezogen und diffundieren daher schneller durch die Lösung. Je größer die Ladung der gelösten Ionen, desto größer wird auch der Leitwert.</w:t>
      </w:r>
    </w:p>
    <w:p w:rsidR="008636A0" w:rsidRDefault="008636A0" w:rsidP="008636A0">
      <w:pPr>
        <w:tabs>
          <w:tab w:val="left" w:pos="1985"/>
        </w:tabs>
        <w:ind w:left="1985" w:hanging="1985"/>
        <w:jc w:val="left"/>
      </w:pPr>
      <w:r>
        <w:t>Entsorgung:</w:t>
      </w:r>
      <w:r>
        <w:tab/>
        <w:t>Alle Lösungen können über den Abfluss entsorgt werden.</w:t>
      </w:r>
    </w:p>
    <w:p w:rsidR="008636A0" w:rsidRDefault="008636A0" w:rsidP="008636A0">
      <w:pPr>
        <w:ind w:left="1985" w:hanging="1985"/>
        <w:jc w:val="left"/>
        <w:rPr>
          <w:rFonts w:asciiTheme="majorHAnsi" w:hAnsiTheme="majorHAnsi"/>
        </w:rPr>
      </w:pPr>
      <w:r>
        <w:t>Literatur:</w:t>
      </w:r>
      <w:r>
        <w:tab/>
        <w:t xml:space="preserve">Beck, H.; </w:t>
      </w:r>
      <w:proofErr w:type="spellStart"/>
      <w:r>
        <w:t>Dyrbusch</w:t>
      </w:r>
      <w:proofErr w:type="spellEnd"/>
      <w:r>
        <w:t xml:space="preserve"> M.; Meyer-</w:t>
      </w:r>
      <w:proofErr w:type="spellStart"/>
      <w:r>
        <w:t>Bäse</w:t>
      </w:r>
      <w:proofErr w:type="spellEnd"/>
      <w:r>
        <w:t xml:space="preserve">, K.; </w:t>
      </w:r>
      <w:proofErr w:type="spellStart"/>
      <w:r>
        <w:t>Egert</w:t>
      </w:r>
      <w:proofErr w:type="spellEnd"/>
      <w:r>
        <w:t>, E. (2014): Modul B.Che.1001 Allgemeine und anorganische Chemie. Praktikumsskript. Praktischer Einführungskurs. Georg-August-Universität Göttingen.</w:t>
      </w:r>
    </w:p>
    <w:p w:rsidR="008636A0" w:rsidRDefault="008636A0" w:rsidP="008636A0">
      <w:pPr>
        <w:tabs>
          <w:tab w:val="left" w:pos="1701"/>
          <w:tab w:val="left" w:pos="1985"/>
        </w:tabs>
        <w:ind w:left="1980" w:hanging="1980"/>
      </w:pPr>
      <w:r>
        <w:rPr>
          <w:noProof/>
          <w:lang w:eastAsia="de-DE"/>
        </w:rPr>
        <mc:AlternateContent>
          <mc:Choice Requires="wps">
            <w:drawing>
              <wp:inline distT="0" distB="0" distL="0" distR="0" wp14:anchorId="7408A8BF" wp14:editId="0B3EA6B2">
                <wp:extent cx="5873115" cy="1117600"/>
                <wp:effectExtent l="0" t="0" r="13335" b="25400"/>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76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6A0" w:rsidRDefault="008636A0" w:rsidP="008636A0">
                            <w:pPr>
                              <w:rPr>
                                <w:color w:val="auto"/>
                              </w:rPr>
                            </w:pPr>
                            <w:r w:rsidRPr="00F31EBF">
                              <w:rPr>
                                <w:b/>
                                <w:color w:val="auto"/>
                              </w:rPr>
                              <w:t>Unterrichtsanschlüsse</w:t>
                            </w:r>
                            <w:r>
                              <w:rPr>
                                <w:b/>
                                <w:color w:val="auto"/>
                              </w:rPr>
                              <w:t>:</w:t>
                            </w:r>
                            <w:r>
                              <w:rPr>
                                <w:color w:val="auto"/>
                              </w:rPr>
                              <w:t xml:space="preserve"> Mit diesem Versuch kann der Übergang vom Thema Salze und Ionen, sowie ihrer Lösungen, zur Elektrochemie geschaffen werden. Zudem stellt die Leitfähigkeitsmessung eine Standardmethode in der analytischen Chemie dar, die hiermit erlernt werden kann und später beispielsweise für </w:t>
                            </w:r>
                            <w:proofErr w:type="spellStart"/>
                            <w:r>
                              <w:rPr>
                                <w:color w:val="auto"/>
                              </w:rPr>
                              <w:t>konduktometrische</w:t>
                            </w:r>
                            <w:proofErr w:type="spellEnd"/>
                            <w:r>
                              <w:rPr>
                                <w:color w:val="auto"/>
                              </w:rPr>
                              <w:t xml:space="preserve"> Titrationen wieder aufgegriffen werden kann.</w:t>
                            </w:r>
                          </w:p>
                          <w:p w:rsidR="008636A0" w:rsidRPr="00F31EBF" w:rsidRDefault="008636A0" w:rsidP="008636A0">
                            <w:pPr>
                              <w:rPr>
                                <w:color w:val="auto"/>
                              </w:rPr>
                            </w:pPr>
                          </w:p>
                        </w:txbxContent>
                      </wps:txbx>
                      <wps:bodyPr rot="0" vert="horz" wrap="square" lIns="91440" tIns="45720" rIns="91440" bIns="45720" anchor="t" anchorCtr="0" upright="1">
                        <a:noAutofit/>
                      </wps:bodyPr>
                    </wps:wsp>
                  </a:graphicData>
                </a:graphic>
              </wp:inline>
            </w:drawing>
          </mc:Choice>
          <mc:Fallback>
            <w:pict>
              <v:shape w14:anchorId="7408A8BF" id="Text Box 222" o:spid="_x0000_s1028" type="#_x0000_t202" style="width:462.4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" fillcolor="white [3201]" strokecolor="#ed7d31 [3205]" strokeweight="1pt">
                <v:stroke dashstyle="dash"/>
                <v:shadow color="#868686"/>
                <v:textbox>
                  <w:txbxContent>
                    <w:p w:rsidR="008636A0" w:rsidRDefault="008636A0" w:rsidP="008636A0">
                      <w:pPr>
                        <w:rPr>
                          <w:color w:val="auto"/>
                        </w:rPr>
                      </w:pPr>
                      <w:r w:rsidRPr="00F31EBF">
                        <w:rPr>
                          <w:b/>
                          <w:color w:val="auto"/>
                        </w:rPr>
                        <w:t>Unterrichtsanschlüsse</w:t>
                      </w:r>
                      <w:r>
                        <w:rPr>
                          <w:b/>
                          <w:color w:val="auto"/>
                        </w:rPr>
                        <w:t>:</w:t>
                      </w:r>
                      <w:r>
                        <w:rPr>
                          <w:color w:val="auto"/>
                        </w:rPr>
                        <w:t xml:space="preserve"> Mit diesem Versuch kann der Übergang vom Thema Salze und Ionen, sowie ihrer Lösungen, zur Elektrochemie geschaffen werden. Zudem stellt die Leitfähigkeitsmessung eine Standardmethode in der analytischen Chemie dar, die hiermit erlernt werden kann und später beispielsweise für </w:t>
                      </w:r>
                      <w:proofErr w:type="spellStart"/>
                      <w:r>
                        <w:rPr>
                          <w:color w:val="auto"/>
                        </w:rPr>
                        <w:t>konduktometrische</w:t>
                      </w:r>
                      <w:proofErr w:type="spellEnd"/>
                      <w:r>
                        <w:rPr>
                          <w:color w:val="auto"/>
                        </w:rPr>
                        <w:t xml:space="preserve"> Titrationen wieder aufgegriffen werden kann.</w:t>
                      </w:r>
                    </w:p>
                    <w:p w:rsidR="008636A0" w:rsidRPr="00F31EBF" w:rsidRDefault="008636A0" w:rsidP="008636A0">
                      <w:pPr>
                        <w:rPr>
                          <w:color w:val="auto"/>
                        </w:rPr>
                      </w:pPr>
                    </w:p>
                  </w:txbxContent>
                </v:textbox>
                <w10:anchorlock/>
              </v:shape>
            </w:pict>
          </mc:Fallback>
        </mc:AlternateContent>
      </w:r>
    </w:p>
    <w:p w:rsidR="001C369B" w:rsidRPr="008636A0" w:rsidRDefault="001C369B" w:rsidP="008636A0"/>
    <w:sectPr w:rsidR="001C369B" w:rsidRPr="008636A0" w:rsidSect="00C84DA0">
      <w:pgSz w:w="11906" w:h="16838"/>
      <w:pgMar w:top="1417" w:right="1417" w:bottom="709"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3A" w:rsidRDefault="0056173A" w:rsidP="0075593D">
      <w:pPr>
        <w:spacing w:after="0" w:line="240" w:lineRule="auto"/>
      </w:pPr>
      <w:r>
        <w:separator/>
      </w:r>
    </w:p>
  </w:endnote>
  <w:endnote w:type="continuationSeparator" w:id="0">
    <w:p w:rsidR="0056173A" w:rsidRDefault="0056173A"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3A" w:rsidRDefault="0056173A" w:rsidP="0075593D">
      <w:pPr>
        <w:spacing w:after="0" w:line="240" w:lineRule="auto"/>
      </w:pPr>
      <w:r>
        <w:separator/>
      </w:r>
    </w:p>
  </w:footnote>
  <w:footnote w:type="continuationSeparator" w:id="0">
    <w:p w:rsidR="0056173A" w:rsidRDefault="0056173A" w:rsidP="0075593D">
      <w:pPr>
        <w:spacing w:after="0" w:line="240" w:lineRule="auto"/>
      </w:pPr>
      <w:r>
        <w:continuationSeparator/>
      </w:r>
    </w:p>
  </w:footnote>
  <w:footnote w:id="1">
    <w:p w:rsidR="008636A0" w:rsidRDefault="008636A0" w:rsidP="008636A0">
      <w:pPr>
        <w:pStyle w:val="Funotentext"/>
      </w:pPr>
      <w:r>
        <w:rPr>
          <w:rStyle w:val="Funotenzeichen"/>
        </w:rPr>
        <w:footnoteRef/>
      </w:r>
      <w:r>
        <w:t xml:space="preserve"> Mortimer, Charles E.; Müller, Ulrich (2010): Chemie. Das Basiswissen der Chemie. 10., </w:t>
      </w:r>
      <w:proofErr w:type="spellStart"/>
      <w:r>
        <w:t>überarb</w:t>
      </w:r>
      <w:proofErr w:type="spellEnd"/>
      <w:r>
        <w:t>. Aufl. Stuttgart: Thieme. S. 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1C369B"/>
    <w:rsid w:val="004245AF"/>
    <w:rsid w:val="0056173A"/>
    <w:rsid w:val="005E5A49"/>
    <w:rsid w:val="00656137"/>
    <w:rsid w:val="00662142"/>
    <w:rsid w:val="006D2084"/>
    <w:rsid w:val="0075593D"/>
    <w:rsid w:val="007C794F"/>
    <w:rsid w:val="008636A0"/>
    <w:rsid w:val="00B13882"/>
    <w:rsid w:val="00B95C6A"/>
    <w:rsid w:val="00D879F3"/>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5E5A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5A49"/>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5E5A49"/>
    <w:rPr>
      <w:vertAlign w:val="superscript"/>
    </w:rPr>
  </w:style>
  <w:style w:type="table" w:styleId="Gitternetztabelle1hell">
    <w:name w:val="Grid Table 1 Light"/>
    <w:basedOn w:val="NormaleTabelle"/>
    <w:uiPriority w:val="46"/>
    <w:rsid w:val="008636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2016-08-09T10:51:00Z</dcterms:created>
  <dcterms:modified xsi:type="dcterms:W3CDTF">2016-08-09T10:51:00Z</dcterms:modified>
</cp:coreProperties>
</file>