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E5" w:rsidRDefault="00031B25">
      <w:pPr>
        <w:keepNext/>
        <w:keepLines/>
        <w:spacing w:before="200" w:after="200" w:line="360" w:lineRule="auto"/>
        <w:ind w:left="576" w:hanging="576"/>
        <w:jc w:val="both"/>
      </w:pPr>
      <w:bookmarkStart w:id="0" w:name="_Toc457723815"/>
      <w:bookmarkStart w:id="1" w:name="_GoBack"/>
      <w:bookmarkEnd w:id="1"/>
      <w:r>
        <w:rPr>
          <w:rFonts w:ascii="Cambria" w:eastAsia="MS Gothic" w:hAnsi="Cambria"/>
          <w:b/>
          <w:bCs/>
          <w:noProof/>
          <w:color w:val="1D1B11"/>
          <w:szCs w:val="26"/>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395606</wp:posOffset>
                </wp:positionV>
                <wp:extent cx="5873118" cy="1352553"/>
                <wp:effectExtent l="0" t="0" r="13332" b="19047"/>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352553"/>
                        </a:xfrm>
                        <a:prstGeom prst="rect">
                          <a:avLst/>
                        </a:prstGeom>
                        <a:solidFill>
                          <a:srgbClr val="FFFFFF"/>
                        </a:solidFill>
                        <a:ln w="12701">
                          <a:solidFill>
                            <a:srgbClr val="4BACC6"/>
                          </a:solidFill>
                          <a:prstDash val="dash"/>
                        </a:ln>
                      </wps:spPr>
                      <wps:txbx>
                        <w:txbxContent>
                          <w:p w:rsidR="00A838E5" w:rsidRDefault="00031B25">
                            <w:pPr>
                              <w:spacing w:line="360" w:lineRule="auto"/>
                              <w:jc w:val="both"/>
                              <w:rPr>
                                <w:rFonts w:ascii="Cambria" w:hAnsi="Cambria"/>
                              </w:rPr>
                            </w:pPr>
                            <w:r>
                              <w:rPr>
                                <w:rFonts w:ascii="Cambria" w:hAnsi="Cambria"/>
                              </w:rPr>
                              <w:t xml:space="preserve">In diesem Versuch wird das unterschiedliche Reaktionsverhalten von Metall- und Nichtmetalloxiden in wässrigen Lösungen mithilfe von Indikatoren sichtbar gemacht. </w:t>
                            </w:r>
                          </w:p>
                          <w:p w:rsidR="00A838E5" w:rsidRDefault="00031B25">
                            <w:pPr>
                              <w:spacing w:line="360" w:lineRule="auto"/>
                              <w:jc w:val="both"/>
                              <w:rPr>
                                <w:rFonts w:ascii="Cambria" w:hAnsi="Cambria"/>
                              </w:rPr>
                            </w:pPr>
                            <w:r>
                              <w:rPr>
                                <w:rFonts w:ascii="Cambria" w:hAnsi="Cambria"/>
                              </w:rPr>
                              <w:t>Voraussetzung für</w:t>
                            </w:r>
                            <w:r>
                              <w:rPr>
                                <w:rFonts w:ascii="Cambria" w:hAnsi="Cambria"/>
                              </w:rPr>
                              <w:t xml:space="preserve"> das Verständnis sind das Verständnis von Oxidation als eine Reaktion eines Stoffes mit Sauerstoff sowie die Funktionsweise von Indikatoren (Phenolphtalein, Bromthymolblau).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15pt;width:462.45pt;height:106.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" strokecolor="#4bacc6" strokeweight=".35281mm">
                <v:stroke dashstyle="dash"/>
                <v:textbox>
                  <w:txbxContent>
                    <w:p w:rsidR="00A838E5" w:rsidRDefault="00031B25">
                      <w:pPr>
                        <w:spacing w:line="360" w:lineRule="auto"/>
                        <w:jc w:val="both"/>
                        <w:rPr>
                          <w:rFonts w:ascii="Cambria" w:hAnsi="Cambria"/>
                        </w:rPr>
                      </w:pPr>
                      <w:r>
                        <w:rPr>
                          <w:rFonts w:ascii="Cambria" w:hAnsi="Cambria"/>
                        </w:rPr>
                        <w:t xml:space="preserve">In diesem Versuch wird das unterschiedliche Reaktionsverhalten von Metall- und Nichtmetalloxiden in wässrigen Lösungen mithilfe von Indikatoren sichtbar gemacht. </w:t>
                      </w:r>
                    </w:p>
                    <w:p w:rsidR="00A838E5" w:rsidRDefault="00031B25">
                      <w:pPr>
                        <w:spacing w:line="360" w:lineRule="auto"/>
                        <w:jc w:val="both"/>
                        <w:rPr>
                          <w:rFonts w:ascii="Cambria" w:hAnsi="Cambria"/>
                        </w:rPr>
                      </w:pPr>
                      <w:r>
                        <w:rPr>
                          <w:rFonts w:ascii="Cambria" w:hAnsi="Cambria"/>
                        </w:rPr>
                        <w:t>Voraussetzung für</w:t>
                      </w:r>
                      <w:r>
                        <w:rPr>
                          <w:rFonts w:ascii="Cambria" w:hAnsi="Cambria"/>
                        </w:rPr>
                        <w:t xml:space="preserve"> das Verständnis sind das Verständnis von Oxidation als eine Reaktion eines Stoffes mit Sauerstoff sowie die Funktionsweise von Indikatoren (Phenolphtalein, Bromthymolblau). </w:t>
                      </w:r>
                    </w:p>
                  </w:txbxContent>
                </v:textbox>
                <w10:wrap type="square" anchorx="margin"/>
              </v:shape>
            </w:pict>
          </mc:Fallback>
        </mc:AlternateContent>
      </w:r>
      <w:r>
        <w:rPr>
          <w:rFonts w:ascii="Cambria" w:eastAsia="MS Gothic" w:hAnsi="Cambria"/>
          <w:b/>
          <w:bCs/>
          <w:szCs w:val="26"/>
        </w:rPr>
        <w:t>V1 – Ist Oxid gleich Oxid?</w:t>
      </w:r>
      <w:bookmarkEnd w:id="0"/>
      <w:r>
        <w:rPr>
          <w:rFonts w:ascii="Cambria" w:eastAsia="MS Gothic" w:hAnsi="Cambria"/>
          <w:b/>
          <w:bCs/>
          <w:szCs w:val="26"/>
        </w:rPr>
        <w:t xml:space="preserve">  </w:t>
      </w:r>
      <w:bookmarkStart w:id="2" w:name="_Toc425776595"/>
      <w:bookmarkStart w:id="3" w:name="_Toc456688591"/>
      <w:bookmarkStart w:id="4" w:name="_Toc456688607"/>
      <w:bookmarkEnd w:id="2"/>
      <w:bookmarkEnd w:id="3"/>
      <w:bookmarkEnd w:id="4"/>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A838E5">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A838E5" w:rsidRDefault="00031B25">
            <w:pPr>
              <w:spacing w:after="0" w:line="360" w:lineRule="auto"/>
              <w:jc w:val="center"/>
              <w:rPr>
                <w:rFonts w:ascii="Cambria" w:hAnsi="Cambria" w:cs="Arial"/>
                <w:b/>
                <w:bCs/>
                <w:color w:val="FFFFFF"/>
              </w:rPr>
            </w:pPr>
            <w:r>
              <w:rPr>
                <w:rFonts w:ascii="Cambria" w:hAnsi="Cambria" w:cs="Arial"/>
                <w:b/>
                <w:bCs/>
                <w:color w:val="FFFFFF"/>
              </w:rPr>
              <w:t>Gefahrenstoffe</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 xml:space="preserve">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H: </w:t>
            </w:r>
            <w:r>
              <w:rPr>
                <w:rFonts w:ascii="Cambria"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P: </w:t>
            </w:r>
            <w:r>
              <w:rPr>
                <w:rFonts w:ascii="Cambria" w:hAnsi="Cambria" w:cs="Arial"/>
                <w:color w:val="1D1B11"/>
              </w:rPr>
              <w:t>-</w:t>
            </w:r>
          </w:p>
        </w:tc>
      </w:tr>
      <w:tr w:rsidR="00A838E5">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sz w:val="20"/>
                <w:szCs w:val="20"/>
              </w:rPr>
              <w:t xml:space="preserve">Schwefel </w:t>
            </w:r>
          </w:p>
        </w:tc>
        <w:tc>
          <w:tcPr>
            <w:tcW w:w="3177" w:type="dxa"/>
            <w:gridSpan w:val="3"/>
            <w:shd w:val="clear" w:color="auto" w:fill="auto"/>
            <w:tcMar>
              <w:top w:w="0" w:type="dxa"/>
              <w:left w:w="108" w:type="dxa"/>
              <w:bottom w:w="0" w:type="dxa"/>
              <w:right w:w="108" w:type="dxa"/>
            </w:tcMar>
            <w:vAlign w:val="center"/>
          </w:tcPr>
          <w:p w:rsidR="00A838E5" w:rsidRDefault="00031B25">
            <w:pPr>
              <w:spacing w:after="0" w:line="240" w:lineRule="auto"/>
              <w:rPr>
                <w:rFonts w:ascii="Cambria" w:hAnsi="Cambria" w:cs="Arial"/>
                <w:bCs/>
                <w:sz w:val="20"/>
                <w:szCs w:val="18"/>
              </w:rPr>
            </w:pPr>
            <w:r>
              <w:rPr>
                <w:rFonts w:ascii="Cambria" w:hAnsi="Cambria" w:cs="Arial"/>
                <w:bCs/>
                <w:sz w:val="20"/>
                <w:szCs w:val="18"/>
              </w:rPr>
              <w:t>H: 315</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240" w:lineRule="auto"/>
              <w:rPr>
                <w:rFonts w:ascii="Cambria" w:hAnsi="Cambria" w:cs="Arial"/>
                <w:bCs/>
                <w:sz w:val="20"/>
                <w:szCs w:val="18"/>
              </w:rPr>
            </w:pPr>
            <w:r>
              <w:rPr>
                <w:rFonts w:ascii="Cambria" w:hAnsi="Cambria" w:cs="Arial"/>
                <w:bCs/>
                <w:sz w:val="20"/>
                <w:szCs w:val="18"/>
              </w:rPr>
              <w:t>P: 302+352</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Sauerstoff</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H: 270​‐​280</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P: 244​‐​220​‐​370+376​‐​403</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 xml:space="preserve">Holzkohle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H: </w:t>
            </w:r>
            <w:r>
              <w:rPr>
                <w:rFonts w:ascii="Cambria"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P: </w:t>
            </w:r>
            <w:r>
              <w:rPr>
                <w:rFonts w:ascii="Cambria" w:hAnsi="Cambria" w:cs="Arial"/>
                <w:color w:val="1D1B11"/>
              </w:rPr>
              <w:t>-</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 xml:space="preserve">Calciumoxid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P: 261​‐​280​‐​305+351+338</w:t>
            </w:r>
          </w:p>
        </w:tc>
      </w:tr>
      <w:tr w:rsidR="00A838E5">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sz w:val="20"/>
                <w:szCs w:val="20"/>
              </w:rPr>
              <w:t>Phenolphthalein</w:t>
            </w:r>
          </w:p>
        </w:tc>
        <w:tc>
          <w:tcPr>
            <w:tcW w:w="3177" w:type="dxa"/>
            <w:gridSpan w:val="3"/>
            <w:shd w:val="clear" w:color="auto" w:fill="auto"/>
            <w:tcMar>
              <w:top w:w="0" w:type="dxa"/>
              <w:left w:w="108" w:type="dxa"/>
              <w:bottom w:w="0" w:type="dxa"/>
              <w:right w:w="108" w:type="dxa"/>
            </w:tcMar>
            <w:vAlign w:val="center"/>
          </w:tcPr>
          <w:p w:rsidR="00A838E5" w:rsidRDefault="00031B25">
            <w:pPr>
              <w:spacing w:after="0" w:line="240" w:lineRule="auto"/>
              <w:rPr>
                <w:rFonts w:ascii="Cambria" w:hAnsi="Cambria" w:cs="Arial"/>
                <w:bCs/>
                <w:sz w:val="20"/>
                <w:szCs w:val="18"/>
              </w:rPr>
            </w:pPr>
            <w:r>
              <w:rPr>
                <w:rFonts w:ascii="Cambria" w:hAnsi="Cambria" w:cs="Arial"/>
                <w:bCs/>
                <w:sz w:val="20"/>
                <w:szCs w:val="18"/>
              </w:rPr>
              <w:t xml:space="preserve">H: 341- 350 - 361f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240" w:lineRule="auto"/>
            </w:pPr>
            <w:r>
              <w:rPr>
                <w:rFonts w:ascii="Cambria" w:hAnsi="Cambria" w:cs="Arial"/>
                <w:bCs/>
                <w:sz w:val="20"/>
                <w:szCs w:val="18"/>
              </w:rPr>
              <w:t xml:space="preserve">P: </w:t>
            </w:r>
            <w:r>
              <w:rPr>
                <w:rFonts w:ascii="Cambria" w:hAnsi="Cambria" w:cs="Arial"/>
                <w:bCs/>
                <w:sz w:val="18"/>
                <w:szCs w:val="18"/>
              </w:rPr>
              <w:t>-</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Bromthymolblau</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H: </w:t>
            </w:r>
            <w:r>
              <w:rPr>
                <w:rFonts w:ascii="Cambria"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P: </w:t>
            </w:r>
            <w:r>
              <w:rPr>
                <w:rFonts w:ascii="Cambria" w:hAnsi="Cambria" w:cs="Arial"/>
                <w:color w:val="1D1B11"/>
              </w:rPr>
              <w:t>-</w:t>
            </w:r>
          </w:p>
        </w:tc>
      </w:tr>
      <w:tr w:rsidR="00A838E5">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sz w:val="20"/>
                <w:szCs w:val="20"/>
              </w:rPr>
              <w:t>Schweflige Säure</w:t>
            </w:r>
          </w:p>
        </w:tc>
        <w:tc>
          <w:tcPr>
            <w:tcW w:w="3177" w:type="dxa"/>
            <w:gridSpan w:val="3"/>
            <w:shd w:val="clear" w:color="auto" w:fill="auto"/>
            <w:tcMar>
              <w:top w:w="0" w:type="dxa"/>
              <w:left w:w="108" w:type="dxa"/>
              <w:bottom w:w="0" w:type="dxa"/>
              <w:right w:w="108" w:type="dxa"/>
            </w:tcMar>
            <w:vAlign w:val="center"/>
          </w:tcPr>
          <w:p w:rsidR="00A838E5" w:rsidRDefault="00031B25">
            <w:pPr>
              <w:spacing w:after="0" w:line="240" w:lineRule="auto"/>
              <w:rPr>
                <w:rFonts w:ascii="Cambria" w:hAnsi="Cambria" w:cs="Arial"/>
                <w:bCs/>
                <w:sz w:val="20"/>
                <w:szCs w:val="18"/>
              </w:rPr>
            </w:pPr>
            <w:r>
              <w:rPr>
                <w:rFonts w:ascii="Cambria" w:hAnsi="Cambria" w:cs="Arial"/>
                <w:bCs/>
                <w:sz w:val="20"/>
                <w:szCs w:val="18"/>
              </w:rPr>
              <w:t>H: 290​‐​314</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240" w:lineRule="auto"/>
              <w:rPr>
                <w:rFonts w:ascii="Cambria" w:hAnsi="Cambria" w:cs="Arial"/>
                <w:bCs/>
                <w:sz w:val="20"/>
                <w:szCs w:val="18"/>
              </w:rPr>
            </w:pPr>
            <w:r>
              <w:rPr>
                <w:rFonts w:ascii="Cambria" w:hAnsi="Cambria" w:cs="Arial"/>
                <w:bCs/>
                <w:sz w:val="20"/>
                <w:szCs w:val="18"/>
              </w:rPr>
              <w:t xml:space="preserve">P: </w:t>
            </w:r>
            <w:r>
              <w:rPr>
                <w:rFonts w:ascii="Cambria" w:hAnsi="Cambria" w:cs="Arial"/>
                <w:bCs/>
                <w:sz w:val="20"/>
                <w:szCs w:val="18"/>
              </w:rPr>
              <w:t>280​‐​301+330+331​‐​305+351+338​‐​309+310</w:t>
            </w:r>
          </w:p>
        </w:tc>
      </w:tr>
      <w:tr w:rsidR="00A838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276" w:lineRule="auto"/>
              <w:jc w:val="center"/>
            </w:pPr>
            <w:r>
              <w:rPr>
                <w:rFonts w:ascii="Cambria" w:hAnsi="Cambria" w:cs="Arial"/>
                <w:color w:val="1D1B11"/>
                <w:sz w:val="20"/>
              </w:rPr>
              <w:t xml:space="preserve">Kohlensäure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H: </w:t>
            </w:r>
            <w:r>
              <w:rPr>
                <w:rFonts w:ascii="Cambria"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pPr>
            <w:r>
              <w:rPr>
                <w:rFonts w:ascii="Cambria" w:hAnsi="Cambria" w:cs="Arial"/>
                <w:color w:val="1D1B11"/>
                <w:sz w:val="20"/>
              </w:rPr>
              <w:t xml:space="preserve">P: </w:t>
            </w:r>
            <w:r>
              <w:rPr>
                <w:rFonts w:ascii="Cambria" w:hAnsi="Cambria" w:cs="Arial"/>
                <w:color w:val="1D1B11"/>
              </w:rPr>
              <w:t>-</w:t>
            </w:r>
          </w:p>
        </w:tc>
      </w:tr>
      <w:tr w:rsidR="00A838E5">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b/>
                <w:bCs/>
                <w:noProof/>
                <w:color w:val="1D1B11"/>
                <w:lang w:eastAsia="de-DE"/>
              </w:rPr>
              <w:drawing>
                <wp:inline distT="0" distB="0" distL="0" distR="0">
                  <wp:extent cx="552453" cy="552453"/>
                  <wp:effectExtent l="0" t="0" r="0" b="0"/>
                  <wp:docPr id="2" name="Grafik 35"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52453" cy="552453"/>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90546" cy="590546"/>
                  <wp:effectExtent l="0" t="0" r="4" b="4"/>
                  <wp:docPr id="3" name="Grafik 39" descr="C:\Users\Caro\Desktop\SVP\Piktogramme\Brandförder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0546" cy="59054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4"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5"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90546" cy="590546"/>
                  <wp:effectExtent l="0" t="0" r="4" b="4"/>
                  <wp:docPr id="6" name="Grafik 38" descr="C:\Users\Caro\Desktop\SVP\Piktogramme\Gasflasch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90546" cy="590546"/>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42925" cy="542925"/>
                  <wp:effectExtent l="0" t="0" r="9525" b="9525"/>
                  <wp:docPr id="7" name="Grafik 41" descr="C:\Users\Caro\Desktop\SVP\Piktogramme\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42925" cy="542925"/>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8"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485775" cy="485775"/>
                  <wp:effectExtent l="0" t="0" r="9525" b="9525"/>
                  <wp:docPr id="9" name="Grafik 33" descr="C:\Users\Caro\Desktop\SV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85775" cy="485775"/>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A838E5" w:rsidRDefault="00031B25">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10" name="Grafik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04191" cy="504191"/>
                          </a:xfrm>
                          <a:prstGeom prst="rect">
                            <a:avLst/>
                          </a:prstGeom>
                          <a:noFill/>
                          <a:ln>
                            <a:noFill/>
                            <a:prstDash/>
                          </a:ln>
                        </pic:spPr>
                      </pic:pic>
                    </a:graphicData>
                  </a:graphic>
                </wp:inline>
              </w:drawing>
            </w:r>
          </w:p>
        </w:tc>
      </w:tr>
    </w:tbl>
    <w:p w:rsidR="00A838E5" w:rsidRDefault="00A838E5">
      <w:pPr>
        <w:tabs>
          <w:tab w:val="left" w:pos="1701"/>
          <w:tab w:val="left" w:pos="1985"/>
        </w:tabs>
        <w:spacing w:after="200" w:line="360" w:lineRule="auto"/>
        <w:jc w:val="both"/>
        <w:rPr>
          <w:rFonts w:ascii="Cambria" w:hAnsi="Cambria" w:cs="Arial"/>
          <w:color w:val="1D1B11"/>
        </w:rPr>
      </w:pPr>
    </w:p>
    <w:p w:rsidR="00A838E5" w:rsidRDefault="00031B25">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Materialien: </w:t>
      </w:r>
      <w:r>
        <w:rPr>
          <w:rFonts w:ascii="Cambria" w:hAnsi="Cambria" w:cs="Arial"/>
          <w:color w:val="1D1B11"/>
        </w:rPr>
        <w:tab/>
      </w:r>
      <w:r>
        <w:rPr>
          <w:rFonts w:ascii="Cambria" w:hAnsi="Cambria" w:cs="Arial"/>
          <w:color w:val="1D1B11"/>
        </w:rPr>
        <w:tab/>
        <w:t>2 Standzylinder, 2 Petrischalen, 2 Verbrennungslöffel mit Abdeckung, Spatel, Gasbrenner, Feuerzeug</w:t>
      </w:r>
    </w:p>
    <w:p w:rsidR="00A838E5" w:rsidRDefault="00031B25">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Chemikalien:</w:t>
      </w:r>
      <w:r>
        <w:rPr>
          <w:rFonts w:ascii="Cambria" w:hAnsi="Cambria" w:cs="Arial"/>
          <w:color w:val="1D1B11"/>
        </w:rPr>
        <w:tab/>
      </w:r>
      <w:r>
        <w:rPr>
          <w:rFonts w:ascii="Cambria" w:hAnsi="Cambria" w:cs="Arial"/>
          <w:color w:val="1D1B11"/>
        </w:rPr>
        <w:tab/>
        <w:t xml:space="preserve">Wasser, Schwefelpulver, Holzkohlepulver, </w:t>
      </w:r>
      <w:r>
        <w:rPr>
          <w:rFonts w:ascii="Cambria" w:hAnsi="Cambria" w:cs="Arial"/>
          <w:color w:val="1D1B11"/>
        </w:rPr>
        <w:t>Calciumoxid, Phenolphtalein, Bromthymolblau, Sauerstoffgas</w:t>
      </w:r>
    </w:p>
    <w:p w:rsidR="00A838E5" w:rsidRDefault="00031B25">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Durchführung: </w:t>
      </w:r>
      <w:r>
        <w:rPr>
          <w:rFonts w:ascii="Cambria" w:hAnsi="Cambria" w:cs="Arial"/>
          <w:color w:val="1D1B11"/>
        </w:rPr>
        <w:tab/>
      </w:r>
      <w:r>
        <w:rPr>
          <w:rFonts w:ascii="Cambria" w:hAnsi="Cambria" w:cs="Arial"/>
          <w:color w:val="1D1B11"/>
        </w:rPr>
        <w:tab/>
        <w:t>In die beiden Standzylinder wird wenig Wasser gefüllt und mit Bromthymolblau angefärbt.  Daraufhin wird reines Sauerstoffgas in die Standzylinder gegeben und der Rand mit jeweils ei</w:t>
      </w:r>
      <w:r>
        <w:rPr>
          <w:rFonts w:ascii="Cambria" w:hAnsi="Cambria" w:cs="Arial"/>
          <w:color w:val="1D1B11"/>
        </w:rPr>
        <w:t>ner Petrischale abgedeckt. Schwefel- und Kohlepulver werden vorsichtig in je einen Verbrennungslöffel gegeben und über der Gasbrennerflamme angezündet. Sobald eine Flammenbildung erkennbar ist, werden die Verbrennungslöffel in die sauerstoffhaltige Atmosph</w:t>
      </w:r>
      <w:r>
        <w:rPr>
          <w:rFonts w:ascii="Cambria" w:hAnsi="Cambria" w:cs="Arial"/>
          <w:color w:val="1D1B11"/>
        </w:rPr>
        <w:t xml:space="preserve">äre gehalten. Nach wenigen Minuten </w:t>
      </w:r>
      <w:r>
        <w:rPr>
          <w:rFonts w:ascii="Cambria" w:hAnsi="Cambria" w:cs="Arial"/>
          <w:color w:val="1D1B11"/>
        </w:rPr>
        <w:lastRenderedPageBreak/>
        <w:t xml:space="preserve">werden die Standzylinder vorsichtig geschüttelt und die Farbveränderung der Indikatoren beobachtet. </w:t>
      </w:r>
    </w:p>
    <w:p w:rsidR="00A838E5" w:rsidRDefault="00031B25">
      <w:pPr>
        <w:tabs>
          <w:tab w:val="left" w:pos="1701"/>
          <w:tab w:val="left" w:pos="1985"/>
        </w:tabs>
        <w:spacing w:after="200" w:line="360" w:lineRule="auto"/>
        <w:ind w:left="1980" w:hanging="1980"/>
        <w:jc w:val="both"/>
      </w:pPr>
      <w:r>
        <w:rPr>
          <w:rFonts w:ascii="Cambria" w:hAnsi="Cambria" w:cs="Arial"/>
          <w:color w:val="1D1B11"/>
        </w:rPr>
        <w:tab/>
      </w:r>
      <w:r>
        <w:rPr>
          <w:rFonts w:ascii="Cambria" w:hAnsi="Cambria" w:cs="Arial"/>
          <w:color w:val="1D1B11"/>
        </w:rPr>
        <w:tab/>
      </w:r>
      <w:r>
        <w:rPr>
          <w:rFonts w:ascii="Cambria" w:hAnsi="Cambria" w:cs="Arial"/>
          <w:color w:val="000000"/>
        </w:rPr>
        <w:t>Zum Vergleich wird eine Spatelspitze Calciumoxid in eine mit Phenolphthalein versetzter wässrige Lösung gegeben und de</w:t>
      </w:r>
      <w:r>
        <w:rPr>
          <w:rFonts w:ascii="Cambria" w:hAnsi="Cambria" w:cs="Arial"/>
          <w:color w:val="000000"/>
        </w:rPr>
        <w:t>r Farbumschlag des Indikators beobachtet.</w:t>
      </w:r>
    </w:p>
    <w:p w:rsidR="00A838E5" w:rsidRDefault="00031B25">
      <w:pPr>
        <w:tabs>
          <w:tab w:val="left" w:pos="1701"/>
          <w:tab w:val="left" w:pos="1985"/>
        </w:tabs>
        <w:spacing w:after="200" w:line="360" w:lineRule="auto"/>
        <w:ind w:left="1980" w:hanging="1980"/>
        <w:jc w:val="both"/>
      </w:pPr>
      <w:r>
        <w:rPr>
          <w:rFonts w:ascii="Cambria" w:hAnsi="Cambria" w:cs="Arial"/>
          <w:color w:val="000000"/>
        </w:rPr>
        <w:t>Beobachtung:</w:t>
      </w:r>
      <w:r>
        <w:rPr>
          <w:rFonts w:ascii="Cambria" w:hAnsi="Cambria" w:cs="Arial"/>
          <w:color w:val="FF0000"/>
        </w:rPr>
        <w:tab/>
      </w:r>
      <w:r>
        <w:rPr>
          <w:rFonts w:ascii="Cambria" w:hAnsi="Cambria" w:cs="Arial"/>
          <w:color w:val="FF0000"/>
        </w:rPr>
        <w:tab/>
      </w:r>
      <w:r>
        <w:rPr>
          <w:rFonts w:ascii="Cambria" w:hAnsi="Cambria" w:cs="Arial"/>
          <w:color w:val="000000"/>
        </w:rPr>
        <w:t xml:space="preserve">Der Kohlenstoff brennt mit gelblicher Flamme, es kommt zu einer Rauchentwicklung. Der Schwefel brennt mit bläulicher Flamme, es ist ebenfalls eine Rauchentwicklung erkennbar. Nach vorsichtigem </w:t>
      </w:r>
      <w:r>
        <w:rPr>
          <w:rFonts w:ascii="Cambria" w:hAnsi="Cambria" w:cs="Arial"/>
          <w:color w:val="000000"/>
        </w:rPr>
        <w:t xml:space="preserve">Schütteln der Standzylinder kommt es zu einem Farbumschlag der Indikatorlösungen von blau zu gelb. </w:t>
      </w:r>
    </w:p>
    <w:p w:rsidR="00A838E5" w:rsidRDefault="00031B25">
      <w:pPr>
        <w:tabs>
          <w:tab w:val="left" w:pos="1701"/>
          <w:tab w:val="left" w:pos="1985"/>
        </w:tabs>
        <w:spacing w:after="200" w:line="360" w:lineRule="auto"/>
        <w:ind w:left="1980" w:hanging="1980"/>
        <w:jc w:val="both"/>
        <w:rPr>
          <w:rFonts w:ascii="Cambria" w:hAnsi="Cambria" w:cs="Arial"/>
          <w:color w:val="000000"/>
        </w:rPr>
      </w:pPr>
      <w:r>
        <w:rPr>
          <w:rFonts w:ascii="Cambria" w:hAnsi="Cambria" w:cs="Arial"/>
          <w:color w:val="000000"/>
        </w:rPr>
        <w:tab/>
      </w:r>
      <w:r>
        <w:rPr>
          <w:rFonts w:ascii="Cambria" w:hAnsi="Cambria" w:cs="Arial"/>
          <w:color w:val="000000"/>
        </w:rPr>
        <w:tab/>
        <w:t xml:space="preserve">Nach Zugabe des Calciumoxids in der Phenolphtaleinlösung kommt es zu einem Farbumschlag von farblos zu pink. </w:t>
      </w:r>
    </w:p>
    <w:p w:rsidR="00A838E5" w:rsidRDefault="00031B25">
      <w:pPr>
        <w:tabs>
          <w:tab w:val="left" w:pos="1701"/>
          <w:tab w:val="left" w:pos="1985"/>
        </w:tabs>
        <w:spacing w:after="200" w:line="360" w:lineRule="auto"/>
        <w:ind w:left="1980" w:hanging="1980"/>
        <w:jc w:val="center"/>
      </w:pPr>
      <w:r>
        <w:rPr>
          <w:rFonts w:ascii="Cambria" w:hAnsi="Cambria" w:cs="Arial"/>
          <w:color w:val="000000"/>
        </w:rPr>
        <w:t xml:space="preserve">                                         </w:t>
      </w:r>
      <w:r>
        <w:rPr>
          <w:rFonts w:ascii="Cambria" w:hAnsi="Cambria" w:cs="Arial"/>
          <w:noProof/>
          <w:color w:val="000000"/>
          <w:lang w:eastAsia="de-DE"/>
        </w:rPr>
        <w:drawing>
          <wp:inline distT="0" distB="0" distL="0" distR="0">
            <wp:extent cx="4095542" cy="2805443"/>
            <wp:effectExtent l="0" t="0" r="208" b="0"/>
            <wp:docPr id="11" name="Grafik 46" descr="C:\Users\Caro\Desktop\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095542" cy="2805443"/>
                    </a:xfrm>
                    <a:prstGeom prst="rect">
                      <a:avLst/>
                    </a:prstGeom>
                    <a:noFill/>
                    <a:ln>
                      <a:noFill/>
                      <a:prstDash/>
                    </a:ln>
                  </pic:spPr>
                </pic:pic>
              </a:graphicData>
            </a:graphic>
          </wp:inline>
        </w:drawing>
      </w:r>
      <w:r>
        <w:rPr>
          <w:rFonts w:ascii="Cambria" w:hAnsi="Cambria" w:cs="Arial"/>
          <w:color w:val="000000"/>
        </w:rPr>
        <w:t xml:space="preserve">                                          </w:t>
      </w:r>
    </w:p>
    <w:p w:rsidR="00A838E5" w:rsidRDefault="00031B25">
      <w:pPr>
        <w:spacing w:after="200" w:line="240" w:lineRule="auto"/>
      </w:pPr>
      <w:r>
        <w:rPr>
          <w:rFonts w:ascii="Cambria" w:hAnsi="Cambria" w:cs="Arial"/>
          <w:bCs/>
          <w:color w:val="000000"/>
          <w:sz w:val="18"/>
          <w:szCs w:val="18"/>
        </w:rPr>
        <w:t xml:space="preserve">                                                                            Abb. 1 -  Indikatorfärbungen der sauren und basischen Lösungen </w:t>
      </w:r>
    </w:p>
    <w:p w:rsidR="00A838E5" w:rsidRDefault="00031B25">
      <w:pPr>
        <w:tabs>
          <w:tab w:val="left" w:pos="1701"/>
          <w:tab w:val="left" w:pos="1985"/>
        </w:tabs>
        <w:spacing w:after="200" w:line="360" w:lineRule="auto"/>
        <w:ind w:left="1980" w:hanging="1980"/>
        <w:jc w:val="both"/>
      </w:pPr>
      <w:r>
        <w:rPr>
          <w:rFonts w:ascii="Cambria" w:hAnsi="Cambria" w:cs="Arial"/>
          <w:color w:val="000000"/>
        </w:rPr>
        <w:t>Deutung:</w:t>
      </w:r>
      <w:r>
        <w:rPr>
          <w:rFonts w:ascii="Cambria" w:hAnsi="Cambria" w:cs="Arial"/>
          <w:color w:val="FF0000"/>
        </w:rPr>
        <w:tab/>
      </w:r>
      <w:r>
        <w:rPr>
          <w:rFonts w:ascii="Cambria" w:hAnsi="Cambria" w:cs="Arial"/>
          <w:color w:val="FF0000"/>
        </w:rPr>
        <w:tab/>
      </w:r>
      <w:r>
        <w:rPr>
          <w:rFonts w:ascii="Cambria" w:hAnsi="Cambria" w:cs="Arial"/>
          <w:color w:val="FF0000"/>
        </w:rPr>
        <w:tab/>
      </w:r>
      <w:r>
        <w:rPr>
          <w:rFonts w:ascii="Cambria" w:hAnsi="Cambria" w:cs="Arial"/>
          <w:color w:val="000000"/>
        </w:rPr>
        <w:t>Bei Verbrennung von Schwefel und Kohlenstoff entstehen Schwefe</w:t>
      </w:r>
      <w:r>
        <w:rPr>
          <w:rFonts w:ascii="Cambria" w:hAnsi="Cambria" w:cs="Arial"/>
          <w:color w:val="000000"/>
        </w:rPr>
        <w:t xml:space="preserve">ldioxid bzw. Kohlenstoffdioxid. </w:t>
      </w:r>
    </w:p>
    <w:p w:rsidR="00A838E5" w:rsidRDefault="00031B25">
      <w:pPr>
        <w:tabs>
          <w:tab w:val="left" w:pos="1701"/>
          <w:tab w:val="left" w:pos="1985"/>
        </w:tabs>
        <w:spacing w:after="200" w:line="360" w:lineRule="auto"/>
        <w:ind w:left="1980" w:hanging="1980"/>
        <w:jc w:val="both"/>
      </w:pPr>
      <w:r>
        <w:rPr>
          <w:rFonts w:ascii="Cambria" w:hAnsi="Cambria" w:cs="Arial"/>
          <w:color w:val="000000"/>
        </w:rPr>
        <w:tab/>
      </w:r>
      <w:r>
        <w:rPr>
          <w:rFonts w:ascii="Cambria" w:hAnsi="Cambria" w:cs="Arial"/>
          <w:color w:val="000000"/>
        </w:rPr>
        <w:tab/>
      </w:r>
      <m:oMath>
        <m:sSub>
          <m:sSubPr>
            <m:ctrlPr>
              <w:rPr>
                <w:rFonts w:ascii="Cambria Math" w:hAnsi="Cambria Math"/>
              </w:rPr>
            </m:ctrlPr>
          </m:sSubPr>
          <m:e>
            <m:r>
              <m:rPr>
                <m:sty m:val="p"/>
              </m:rPr>
              <w:rPr>
                <w:rFonts w:ascii="Cambria Math" w:hAnsi="Cambria Math"/>
              </w:rPr>
              <m:t>S</m:t>
            </m:r>
          </m:e>
          <m:sub>
            <m:r>
              <w:rPr>
                <w:rFonts w:ascii="Cambria Math" w:hAnsi="Cambria Math"/>
              </w:rPr>
              <m:t>(</m:t>
            </m:r>
            <m:r>
              <m:rPr>
                <m:sty m:val="p"/>
              </m:rPr>
              <w:rPr>
                <w:rFonts w:ascii="Cambria Math" w:hAnsi="Cambria Math"/>
              </w:rPr>
              <m:t>s</m:t>
            </m:r>
            <m:r>
              <w:rPr>
                <w:rFonts w:ascii="Cambria Math" w:hAnsi="Cambria Math"/>
              </w:rPr>
              <m:t>)</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g</m:t>
            </m:r>
            <m:r>
              <w:rPr>
                <w:rFonts w:ascii="Cambria Math" w:hAnsi="Cambria Math"/>
              </w:rPr>
              <m:t>)</m:t>
            </m:r>
          </m:sub>
        </m:sSub>
        <m:r>
          <w:rPr>
            <w:rFonts w:ascii="Cambria Math" w:hAnsi="Cambria Math"/>
          </w:rPr>
          <m:t>→</m:t>
        </m:r>
        <m:r>
          <m:rPr>
            <m:sty m:val="p"/>
          </m:rPr>
          <w:rPr>
            <w:rFonts w:ascii="Cambria Math" w:hAnsi="Cambria Math"/>
          </w:rPr>
          <m:t xml:space="preserve"> S</m:t>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s</m:t>
            </m:r>
            <m:r>
              <w:rPr>
                <w:rFonts w:ascii="Cambria Math" w:hAnsi="Cambria Math"/>
              </w:rPr>
              <m:t>)</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oMath>
    </w:p>
    <w:p w:rsidR="00A838E5" w:rsidRDefault="00031B25">
      <w:pPr>
        <w:tabs>
          <w:tab w:val="left" w:pos="1701"/>
          <w:tab w:val="left" w:pos="1985"/>
        </w:tabs>
        <w:spacing w:after="200" w:line="360" w:lineRule="auto"/>
        <w:ind w:left="1980" w:hanging="1980"/>
        <w:jc w:val="both"/>
      </w:pPr>
      <w:r>
        <w:rPr>
          <w:rFonts w:ascii="Cambria" w:hAnsi="Cambria" w:cs="Arial"/>
          <w:color w:val="000000"/>
        </w:rPr>
        <w:tab/>
      </w:r>
      <w:r>
        <w:rPr>
          <w:rFonts w:ascii="Cambria" w:hAnsi="Cambria" w:cs="Arial"/>
          <w:color w:val="000000"/>
        </w:rPr>
        <w:tab/>
      </w:r>
      <m:oMath>
        <m:sSub>
          <m:sSubPr>
            <m:ctrlPr>
              <w:rPr>
                <w:rFonts w:ascii="Cambria Math" w:hAnsi="Cambria Math"/>
              </w:rPr>
            </m:ctrlPr>
          </m:sSubPr>
          <m:e>
            <m:r>
              <m:rPr>
                <m:sty m:val="p"/>
              </m:rPr>
              <w:rPr>
                <w:rFonts w:ascii="Cambria Math" w:hAnsi="Cambria Math"/>
              </w:rPr>
              <m:t>C</m:t>
            </m:r>
          </m:e>
          <m:sub>
            <m:r>
              <w:rPr>
                <w:rFonts w:ascii="Cambria Math" w:hAnsi="Cambria Math"/>
              </w:rPr>
              <m:t>(</m:t>
            </m:r>
            <m:r>
              <m:rPr>
                <m:sty m:val="p"/>
              </m:rPr>
              <w:rPr>
                <w:rFonts w:ascii="Cambria Math" w:hAnsi="Cambria Math"/>
              </w:rPr>
              <m:t>s</m:t>
            </m:r>
            <m:r>
              <w:rPr>
                <w:rFonts w:ascii="Cambria Math" w:hAnsi="Cambria Math"/>
              </w:rPr>
              <m:t>)</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g</m:t>
            </m:r>
            <m:r>
              <w:rPr>
                <w:rFonts w:ascii="Cambria Math" w:hAnsi="Cambria Math"/>
              </w:rPr>
              <m:t>)</m:t>
            </m:r>
          </m:sub>
        </m:sSub>
        <m:r>
          <w:rPr>
            <w:rFonts w:ascii="Cambria Math" w:hAnsi="Cambria Math"/>
          </w:rPr>
          <m:t>→</m:t>
        </m:r>
        <m:r>
          <m:rPr>
            <m:sty m:val="p"/>
          </m:rPr>
          <w:rPr>
            <w:rFonts w:ascii="Cambria Math" w:hAnsi="Cambria Math"/>
          </w:rPr>
          <m:t xml:space="preserve"> C</m:t>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s</m:t>
            </m:r>
            <m:r>
              <w:rPr>
                <w:rFonts w:ascii="Cambria Math" w:hAnsi="Cambria Math"/>
              </w:rPr>
              <m:t>)</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oMath>
    </w:p>
    <w:p w:rsidR="00A838E5" w:rsidRDefault="00031B25">
      <w:pPr>
        <w:tabs>
          <w:tab w:val="left" w:pos="1701"/>
          <w:tab w:val="left" w:pos="1985"/>
        </w:tabs>
        <w:spacing w:after="200" w:line="360" w:lineRule="auto"/>
        <w:ind w:left="1980" w:hanging="1980"/>
        <w:jc w:val="both"/>
        <w:rPr>
          <w:rFonts w:ascii="Cambria" w:hAnsi="Cambria" w:cs="Arial"/>
          <w:color w:val="000000"/>
        </w:rPr>
      </w:pPr>
      <w:r>
        <w:rPr>
          <w:rFonts w:ascii="Cambria" w:hAnsi="Cambria" w:cs="Arial"/>
          <w:color w:val="000000"/>
        </w:rPr>
        <w:lastRenderedPageBreak/>
        <w:tab/>
      </w:r>
      <w:r>
        <w:rPr>
          <w:rFonts w:ascii="Cambria" w:hAnsi="Cambria" w:cs="Arial"/>
          <w:color w:val="000000"/>
        </w:rPr>
        <w:tab/>
        <w:t xml:space="preserve">Metalloxide reagieren in wässrigen Lösungen basisch, Nichtmetalloxide sauer. Durch Einleiten von Schwefeldioxid in Wasser entsteht Schweflige Säure. Durch Lösen von Kohlenstoffdioxid in Wasser entsteht Kohlensäure. </w:t>
      </w:r>
      <w:r>
        <w:rPr>
          <w:rFonts w:ascii="Cambria" w:hAnsi="Cambria" w:cs="Arial"/>
          <w:color w:val="000000"/>
        </w:rPr>
        <w:t>Der Farbumschlag des Bromthymolblaus zu gelb zeigt die entstehenden sauren Lösungen an.  Dagegen bildet sich beim Lösen von Calciumoxid in Wasser Calciumhydroxid, welches aufgrund der Hydroxidionen den Indikatorumschlag von Phenolphthalein von farblos zu p</w:t>
      </w:r>
      <w:r>
        <w:rPr>
          <w:rFonts w:ascii="Cambria" w:hAnsi="Cambria" w:cs="Arial"/>
          <w:color w:val="000000"/>
        </w:rPr>
        <w:t xml:space="preserve">ink verursacht. </w:t>
      </w:r>
    </w:p>
    <w:p w:rsidR="00A838E5" w:rsidRDefault="00031B25">
      <w:pPr>
        <w:tabs>
          <w:tab w:val="left" w:pos="1701"/>
          <w:tab w:val="left" w:pos="1985"/>
        </w:tabs>
        <w:spacing w:after="200" w:line="360" w:lineRule="auto"/>
        <w:ind w:left="1980" w:hanging="1980"/>
        <w:jc w:val="both"/>
      </w:pPr>
      <w:r>
        <w:rPr>
          <w:rFonts w:ascii="Cambria" w:hAnsi="Cambria" w:cs="Arial"/>
          <w:color w:val="000000"/>
        </w:rPr>
        <w:tab/>
      </w:r>
      <w:r>
        <w:rPr>
          <w:rFonts w:ascii="Cambria" w:hAnsi="Cambria" w:cs="Arial"/>
          <w:color w:val="000000"/>
        </w:rPr>
        <w:tab/>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s</m:t>
            </m:r>
            <m:r>
              <w:rPr>
                <w:rFonts w:ascii="Cambria Math" w:hAnsi="Cambria Math"/>
              </w:rPr>
              <m:t>)</m:t>
            </m:r>
          </m:sub>
        </m:sSub>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S</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oMath>
    </w:p>
    <w:p w:rsidR="00A838E5" w:rsidRDefault="00031B25">
      <w:pPr>
        <w:tabs>
          <w:tab w:val="left" w:pos="1701"/>
          <w:tab w:val="left" w:pos="1985"/>
        </w:tabs>
        <w:spacing w:after="200" w:line="360" w:lineRule="auto"/>
        <w:ind w:left="1980" w:hanging="1980"/>
        <w:jc w:val="both"/>
      </w:pPr>
      <w:r>
        <w:rPr>
          <w:rFonts w:ascii="Cambria" w:eastAsia="MS Mincho" w:hAnsi="Cambria" w:cs="Arial"/>
          <w:color w:val="000000"/>
        </w:rPr>
        <w:tab/>
      </w:r>
      <w:r>
        <w:rPr>
          <w:rFonts w:ascii="Cambria" w:eastAsia="MS Mincho" w:hAnsi="Cambria" w:cs="Arial"/>
          <w:color w:val="000000"/>
        </w:rPr>
        <w:tab/>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r>
              <m:rPr>
                <m:sty m:val="p"/>
              </m:rPr>
              <w:rPr>
                <w:rFonts w:ascii="Cambria Math" w:hAnsi="Cambria Math"/>
              </w:rPr>
              <m:t>s</m:t>
            </m:r>
            <m:r>
              <w:rPr>
                <w:rFonts w:ascii="Cambria Math" w:hAnsi="Cambria Math"/>
              </w:rPr>
              <m:t>)</m:t>
            </m:r>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oMath>
    </w:p>
    <w:p w:rsidR="00A838E5" w:rsidRDefault="00031B25">
      <w:pPr>
        <w:spacing w:after="200" w:line="276" w:lineRule="auto"/>
        <w:ind w:left="1950" w:hanging="1950"/>
      </w:pPr>
      <w:r>
        <w:rPr>
          <w:rFonts w:ascii="Cambria" w:hAnsi="Cambria" w:cs="Arial"/>
          <w:color w:val="1D1B11"/>
        </w:rPr>
        <w:tab/>
      </w:r>
      <m:oMath>
        <m:r>
          <m:rPr>
            <m:sty m:val="p"/>
          </m:rPr>
          <w:rPr>
            <w:rFonts w:ascii="Cambria Math" w:hAnsi="Cambria Math"/>
          </w:rPr>
          <m:t>Ca</m:t>
        </m:r>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w:rPr>
            <w:rFonts w:ascii="Cambria Math" w:hAnsi="Cambria Math"/>
          </w:rPr>
          <m:t>→</m:t>
        </m:r>
        <m:r>
          <m:rPr>
            <m:sty m:val="p"/>
          </m:rPr>
          <w:rPr>
            <w:rFonts w:ascii="Cambria Math" w:hAnsi="Cambria Math"/>
          </w:rPr>
          <m:t>Ca</m:t>
        </m:r>
        <m:sSub>
          <m:sSubPr>
            <m:ctrlPr>
              <w:rPr>
                <w:rFonts w:ascii="Cambria Math" w:hAnsi="Cambria Math"/>
              </w:rPr>
            </m:ctrlPr>
          </m:sSubPr>
          <m:e>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w:rPr>
                    <w:rFonts w:ascii="Cambria Math" w:hAnsi="Cambria Math"/>
                  </w:rPr>
                  <m:t>2</m:t>
                </m:r>
              </m:sub>
            </m:sSub>
          </m:e>
          <m:sub>
            <m:d>
              <m:dPr>
                <m:ctrlPr>
                  <w:rPr>
                    <w:rFonts w:ascii="Cambria Math" w:hAnsi="Cambria Math"/>
                  </w:rPr>
                </m:ctrlPr>
              </m:dPr>
              <m:e>
                <m:r>
                  <m:rPr>
                    <m:sty m:val="p"/>
                  </m:rPr>
                  <w:rPr>
                    <w:rFonts w:ascii="Cambria Math" w:hAnsi="Cambria Math"/>
                  </w:rPr>
                  <m:t>aq</m:t>
                </m:r>
              </m:e>
            </m:d>
          </m:sub>
        </m:sSub>
      </m:oMath>
    </w:p>
    <w:p w:rsidR="00A838E5" w:rsidRDefault="00031B25">
      <w:pPr>
        <w:spacing w:after="200" w:line="276" w:lineRule="auto"/>
        <w:ind w:left="1950" w:hanging="1950"/>
        <w:rPr>
          <w:rFonts w:ascii="Cambria" w:hAnsi="Cambria" w:cs="Arial"/>
          <w:color w:val="1D1B11"/>
        </w:rPr>
      </w:pPr>
      <w:r>
        <w:rPr>
          <w:rFonts w:ascii="Cambria" w:hAnsi="Cambria" w:cs="Arial"/>
          <w:color w:val="1D1B11"/>
        </w:rPr>
        <w:t>Entsorgung:</w:t>
      </w:r>
      <w:r>
        <w:rPr>
          <w:rFonts w:ascii="Cambria" w:hAnsi="Cambria" w:cs="Arial"/>
          <w:color w:val="1D1B11"/>
        </w:rPr>
        <w:tab/>
        <w:t xml:space="preserve"> Die Entsorgung der Lösungen erfolgt im Säure-Base-Abfall. </w:t>
      </w:r>
    </w:p>
    <w:p w:rsidR="00A838E5" w:rsidRDefault="00031B25">
      <w:pPr>
        <w:spacing w:after="200" w:line="276" w:lineRule="auto"/>
      </w:pPr>
      <w:r>
        <w:rPr>
          <w:rFonts w:ascii="Cambria" w:hAnsi="Cambria" w:cs="Arial"/>
          <w:color w:val="1D1B11"/>
        </w:rPr>
        <w:t xml:space="preserve">Literatur:           </w:t>
      </w:r>
    </w:p>
    <w:p w:rsidR="00A838E5" w:rsidRDefault="00031B25">
      <w:pPr>
        <w:spacing w:after="200" w:line="360" w:lineRule="auto"/>
        <w:jc w:val="both"/>
        <w:rPr>
          <w:rFonts w:ascii="Cambria" w:hAnsi="Cambria" w:cs="Arial"/>
          <w:color w:val="000000"/>
        </w:rPr>
      </w:pPr>
      <w:r>
        <w:rPr>
          <w:rFonts w:ascii="Cambria" w:hAnsi="Cambria" w:cs="Arial"/>
          <w:color w:val="000000"/>
        </w:rPr>
        <w:t>Sommer, Sven; http://netexperimente.de/chemie/25.html (Zuletzt abgerufen am 30.07.2016 um 13:56Uhr).</w:t>
      </w:r>
    </w:p>
    <w:p w:rsidR="00A838E5" w:rsidRDefault="00031B25">
      <w:r>
        <w:rPr>
          <w:noProof/>
          <w:lang w:eastAsia="de-DE"/>
        </w:rPr>
        <mc:AlternateContent>
          <mc:Choice Requires="wps">
            <w:drawing>
              <wp:inline distT="0" distB="0" distL="0" distR="0">
                <wp:extent cx="5760720" cy="765810"/>
                <wp:effectExtent l="0" t="0" r="11430" b="15240"/>
                <wp:docPr id="12" name="Text Box 131"/>
                <wp:cNvGraphicFramePr/>
                <a:graphic xmlns:a="http://schemas.openxmlformats.org/drawingml/2006/main">
                  <a:graphicData uri="http://schemas.microsoft.com/office/word/2010/wordprocessingShape">
                    <wps:wsp>
                      <wps:cNvSpPr txBox="1"/>
                      <wps:spPr>
                        <a:xfrm>
                          <a:off x="0" y="0"/>
                          <a:ext cx="5760720" cy="765810"/>
                        </a:xfrm>
                        <a:prstGeom prst="rect">
                          <a:avLst/>
                        </a:prstGeom>
                        <a:solidFill>
                          <a:srgbClr val="FFFFFF"/>
                        </a:solidFill>
                        <a:ln w="12701">
                          <a:solidFill>
                            <a:srgbClr val="ED7D31"/>
                          </a:solidFill>
                          <a:prstDash val="dash"/>
                        </a:ln>
                      </wps:spPr>
                      <wps:txbx>
                        <w:txbxContent>
                          <w:p w:rsidR="00A838E5" w:rsidRDefault="00031B25">
                            <w:pPr>
                              <w:spacing w:line="360" w:lineRule="auto"/>
                              <w:jc w:val="both"/>
                              <w:rPr>
                                <w:rFonts w:ascii="Cambria" w:hAnsi="Cambria"/>
                              </w:rPr>
                            </w:pPr>
                            <w:r>
                              <w:rPr>
                                <w:rFonts w:ascii="Cambria" w:hAnsi="Cambria"/>
                              </w:rPr>
                              <w:t>Aufgrund der entstehenden Schwefe</w:t>
                            </w:r>
                            <w:r>
                              <w:rPr>
                                <w:rFonts w:ascii="Cambria" w:hAnsi="Cambria"/>
                              </w:rPr>
                              <w:t xml:space="preserve">lsäure ist der Versuch unbedingt unter dem Abzug durchzuführen. Der Versuch bietet Möglichkeiten, sowohl Redox- als auch Säure-Base-Reaktionen zu wiederholen und das Aufstellen von Reaktionsgleichungen zu üben.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" strokecolor="#ed7d31" strokeweight=".35281mm">
                <v:stroke dashstyle="dash"/>
                <v:textbox>
                  <w:txbxContent>
                    <w:p w:rsidR="00A838E5" w:rsidRDefault="00031B25">
                      <w:pPr>
                        <w:spacing w:line="360" w:lineRule="auto"/>
                        <w:jc w:val="both"/>
                        <w:rPr>
                          <w:rFonts w:ascii="Cambria" w:hAnsi="Cambria"/>
                        </w:rPr>
                      </w:pPr>
                      <w:r>
                        <w:rPr>
                          <w:rFonts w:ascii="Cambria" w:hAnsi="Cambria"/>
                        </w:rPr>
                        <w:t>Aufgrund der entstehenden Schwefe</w:t>
                      </w:r>
                      <w:r>
                        <w:rPr>
                          <w:rFonts w:ascii="Cambria" w:hAnsi="Cambria"/>
                        </w:rPr>
                        <w:t xml:space="preserve">lsäure ist der Versuch unbedingt unter dem Abzug durchzuführen. Der Versuch bietet Möglichkeiten, sowohl Redox- als auch Säure-Base-Reaktionen zu wiederholen und das Aufstellen von Reaktionsgleichungen zu üben. </w:t>
                      </w:r>
                    </w:p>
                  </w:txbxContent>
                </v:textbox>
                <w10:anchorlock/>
              </v:shape>
            </w:pict>
          </mc:Fallback>
        </mc:AlternateContent>
      </w:r>
    </w:p>
    <w:sectPr w:rsidR="00A838E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25" w:rsidRDefault="00031B25">
      <w:pPr>
        <w:spacing w:after="0" w:line="240" w:lineRule="auto"/>
      </w:pPr>
      <w:r>
        <w:separator/>
      </w:r>
    </w:p>
  </w:endnote>
  <w:endnote w:type="continuationSeparator" w:id="0">
    <w:p w:rsidR="00031B25" w:rsidRDefault="0003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25" w:rsidRDefault="00031B25">
      <w:pPr>
        <w:spacing w:after="0" w:line="240" w:lineRule="auto"/>
      </w:pPr>
      <w:r>
        <w:rPr>
          <w:color w:val="000000"/>
        </w:rPr>
        <w:separator/>
      </w:r>
    </w:p>
  </w:footnote>
  <w:footnote w:type="continuationSeparator" w:id="0">
    <w:p w:rsidR="00031B25" w:rsidRDefault="00031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838E5"/>
    <w:rsid w:val="00031B25"/>
    <w:rsid w:val="00A838E5"/>
    <w:rsid w:val="00F2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2BBAB-86D1-4C57-92CB-A720FE83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2016-08-12T11:15:00Z</dcterms:created>
  <dcterms:modified xsi:type="dcterms:W3CDTF">2016-08-12T11:15:00Z</dcterms:modified>
</cp:coreProperties>
</file>