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BE2" w:rsidRDefault="001A758C">
      <w:pPr>
        <w:keepNext/>
        <w:keepLines/>
        <w:spacing w:before="200" w:after="200" w:line="360" w:lineRule="auto"/>
        <w:ind w:left="576" w:hanging="576"/>
        <w:jc w:val="both"/>
      </w:pPr>
      <w:bookmarkStart w:id="0" w:name="_GoBack"/>
      <w:bookmarkEnd w:id="0"/>
      <w:r>
        <w:rPr>
          <w:rFonts w:ascii="Cambria" w:eastAsia="MS Gothic" w:hAnsi="Cambria"/>
          <w:b/>
          <w:bCs/>
          <w:szCs w:val="26"/>
        </w:rPr>
        <w:t xml:space="preserve">Alles Gold was glänzt? – Messing als Legierung </w:t>
      </w:r>
      <w:r>
        <w:rPr>
          <w:noProof/>
          <w:lang w:eastAsia="de-DE"/>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370844</wp:posOffset>
                </wp:positionV>
                <wp:extent cx="5873118" cy="1162046"/>
                <wp:effectExtent l="0" t="0" r="13332" b="19054"/>
                <wp:wrapSquare wrapText="bothSides"/>
                <wp:docPr id="1" name="Text Box 60"/>
                <wp:cNvGraphicFramePr/>
                <a:graphic xmlns:a="http://schemas.openxmlformats.org/drawingml/2006/main">
                  <a:graphicData uri="http://schemas.microsoft.com/office/word/2010/wordprocessingShape">
                    <wps:wsp>
                      <wps:cNvSpPr txBox="1"/>
                      <wps:spPr>
                        <a:xfrm>
                          <a:off x="0" y="0"/>
                          <a:ext cx="5873118" cy="1162046"/>
                        </a:xfrm>
                        <a:prstGeom prst="rect">
                          <a:avLst/>
                        </a:prstGeom>
                        <a:solidFill>
                          <a:srgbClr val="FFFFFF"/>
                        </a:solidFill>
                        <a:ln w="12701">
                          <a:solidFill>
                            <a:srgbClr val="4472C4"/>
                          </a:solidFill>
                          <a:prstDash val="dash"/>
                        </a:ln>
                      </wps:spPr>
                      <wps:txbx>
                        <w:txbxContent>
                          <w:p w:rsidR="00155BE2" w:rsidRDefault="001A758C">
                            <w:pPr>
                              <w:spacing w:line="360" w:lineRule="auto"/>
                              <w:jc w:val="both"/>
                              <w:rPr>
                                <w:rFonts w:ascii="Cambria" w:hAnsi="Cambria"/>
                                <w:color w:val="000000"/>
                              </w:rPr>
                            </w:pPr>
                            <w:r>
                              <w:rPr>
                                <w:rFonts w:ascii="Cambria" w:hAnsi="Cambria"/>
                                <w:color w:val="000000"/>
                              </w:rPr>
                              <w:t xml:space="preserve">Legierungen wie Messing werden im technischen Bereich überall dort eingesetzt, wo gleichzeitig gute elektrische Leitfähigkeit und </w:t>
                            </w:r>
                            <w:r>
                              <w:rPr>
                                <w:rFonts w:ascii="Cambria" w:hAnsi="Cambria"/>
                                <w:color w:val="000000"/>
                              </w:rPr>
                              <w:t xml:space="preserve">mechanische Stabilität eine Rolle spielen, wie es bei Antennen der Fall ist. Wegen seiner guten korrosionschemischen Eigenschaften wird Messing zudem im sanitären Bereich für Armaturen und Formstücke verwendet. </w:t>
                            </w:r>
                          </w:p>
                          <w:p w:rsidR="00155BE2" w:rsidRDefault="00155BE2">
                            <w:pPr>
                              <w:rPr>
                                <w:color w:val="FF0000"/>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0;margin-top:29.2pt;width:462.45pt;height:91.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K++wEAAPoDAAAOAAAAZHJzL2Uyb0RvYy54bWysU9uO0zAQfUfiHyy/01zItkvUdAWtipBW&#10;gNTdD3Adu7HkG7bbpHw9Yye0XdgnRB/cuZwcz5wZLx8GJdGJOS+MbnAxyzFimppW6EODn5+27+4x&#10;8oHolkijWYPPzOOH1ds3y97WrDSdkS1zCEi0r3vb4C4EW2eZpx1TxM+MZRqS3DhFArjukLWO9MCu&#10;ZFbm+TzrjWutM5R5D9HNmMSrxM85o+Eb554FJBsMtYV0unTu45mtlqQ+OGI7QacyyD9UoYjQcOmF&#10;akMCQUcn/qJSgjrjDQ8zalRmOBeUpR6gmyL/o5tdRyxLvYA43l5k8v+Pln49fXdItDA7jDRRMKIn&#10;NgT0yQxonuTpra8BtbOACwPEIxRki3EPwdj1wJ2K/9APgjwIfb6IG9koBO/uF++LAtaBQq4o5mVe&#10;zSNPdv3cOh8+M6NQNBrsYHpJVHJ69GGE/obE27yRot0KKZPjDvu1dOhEYNLb9JvYX8CkRj1cXy7y&#10;IlG/SPpbjqpalOvqNY5Yw4b4bryrBWtCSQ3tXHWJVhj2wyTW3rRn0BAeC/TWGfcTox4Wr8H+x5E4&#10;hpH8omGyH4qqipuanOpuUYLjbjP72wzRFKgaHDAazXUYtxvWy5LwqHeWxlFEibT5eAyGiyRlLG6s&#10;aKoZFiwNY3oMcYNv/YS6PtnVLwAAAP//AwBQSwMEFAAGAAgAAAAhACareb7cAAAABwEAAA8AAABk&#10;cnMvZG93bnJldi54bWxMj81Pg0AUxO8m/g+bZ+LNLhAwLfJojB8He7Nq4vHBPoG4H8huW/jvXU/2&#10;OJnJzG+q7Wy0OPLkB2cR0lUCgm3r1GA7hPe355s1CB/IKtLOMsLCHrb15UVFpXIn+8rHfehELLG+&#10;JIQ+hLGU0rc9G/IrN7KN3pebDIUop06qiU6x3GiZJcmtNDTYuNDTyA89t9/7g0FQ9PNY6Oyj2Znl&#10;M90tT4VW5gXx+mq+vwMReA7/YfjDj+hQR6bGHazyQiPEIwGhWOcgorvJ8g2IBiHL0xxkXclz/voX&#10;AAD//wMAUEsBAi0AFAAGAAgAAAAhALaDOJL+AAAA4QEAABMAAAAAAAAAAAAAAAAAAAAAAFtDb250&#10;ZW50X1R5cGVzXS54bWxQSwECLQAUAAYACAAAACEAOP0h/9YAAACUAQAACwAAAAAAAAAAAAAAAAAv&#10;AQAAX3JlbHMvLnJlbHNQSwECLQAUAAYACAAAACEAwJDSvvsBAAD6AwAADgAAAAAAAAAAAAAAAAAu&#10;AgAAZHJzL2Uyb0RvYy54bWxQSwECLQAUAAYACAAAACEAJqt5vtwAAAAHAQAADwAAAAAAAAAAAAAA&#10;AABVBAAAZHJzL2Rvd25yZXYueG1sUEsFBgAAAAAEAAQA8wAAAF4FAAAAAA==&#10;" strokecolor="#4472c4" strokeweight=".35281mm">
                <v:stroke dashstyle="dash"/>
                <v:textbox>
                  <w:txbxContent>
                    <w:p w:rsidR="00155BE2" w:rsidRDefault="001A758C">
                      <w:pPr>
                        <w:spacing w:line="360" w:lineRule="auto"/>
                        <w:jc w:val="both"/>
                        <w:rPr>
                          <w:rFonts w:ascii="Cambria" w:hAnsi="Cambria"/>
                          <w:color w:val="000000"/>
                        </w:rPr>
                      </w:pPr>
                      <w:r>
                        <w:rPr>
                          <w:rFonts w:ascii="Cambria" w:hAnsi="Cambria"/>
                          <w:color w:val="000000"/>
                        </w:rPr>
                        <w:t xml:space="preserve">Legierungen wie Messing werden im technischen Bereich überall dort eingesetzt, wo gleichzeitig gute elektrische Leitfähigkeit und </w:t>
                      </w:r>
                      <w:r>
                        <w:rPr>
                          <w:rFonts w:ascii="Cambria" w:hAnsi="Cambria"/>
                          <w:color w:val="000000"/>
                        </w:rPr>
                        <w:t xml:space="preserve">mechanische Stabilität eine Rolle spielen, wie es bei Antennen der Fall ist. Wegen seiner guten korrosionschemischen Eigenschaften wird Messing zudem im sanitären Bereich für Armaturen und Formstücke verwendet. </w:t>
                      </w:r>
                    </w:p>
                    <w:p w:rsidR="00155BE2" w:rsidRDefault="00155BE2">
                      <w:pPr>
                        <w:rPr>
                          <w:color w:val="FF0000"/>
                        </w:rPr>
                      </w:pPr>
                    </w:p>
                  </w:txbxContent>
                </v:textbox>
                <w10:wrap type="square" anchorx="margin"/>
              </v:shape>
            </w:pict>
          </mc:Fallback>
        </mc:AlternateContent>
      </w:r>
    </w:p>
    <w:tbl>
      <w:tblPr>
        <w:tblW w:w="9322" w:type="dxa"/>
        <w:tblLayout w:type="fixed"/>
        <w:tblCellMar>
          <w:left w:w="10" w:type="dxa"/>
          <w:right w:w="10" w:type="dxa"/>
        </w:tblCellMar>
        <w:tblLook w:val="0000" w:firstRow="0" w:lastRow="0" w:firstColumn="0" w:lastColumn="0" w:noHBand="0" w:noVBand="0"/>
      </w:tblPr>
      <w:tblGrid>
        <w:gridCol w:w="1009"/>
        <w:gridCol w:w="1009"/>
        <w:gridCol w:w="1009"/>
        <w:gridCol w:w="1009"/>
        <w:gridCol w:w="1175"/>
        <w:gridCol w:w="591"/>
        <w:gridCol w:w="402"/>
        <w:gridCol w:w="975"/>
        <w:gridCol w:w="1009"/>
        <w:gridCol w:w="1134"/>
      </w:tblGrid>
      <w:tr w:rsidR="00155BE2">
        <w:tblPrEx>
          <w:tblCellMar>
            <w:top w:w="0" w:type="dxa"/>
            <w:bottom w:w="0" w:type="dxa"/>
          </w:tblCellMar>
        </w:tblPrEx>
        <w:tc>
          <w:tcPr>
            <w:tcW w:w="9322" w:type="dxa"/>
            <w:gridSpan w:val="10"/>
            <w:tcBorders>
              <w:top w:val="single" w:sz="8" w:space="0" w:color="4F81BD"/>
              <w:left w:val="single" w:sz="8" w:space="0" w:color="4F81BD"/>
              <w:right w:val="single" w:sz="8" w:space="0" w:color="4F81BD"/>
            </w:tcBorders>
            <w:shd w:val="clear" w:color="auto" w:fill="4F81BD"/>
            <w:tcMar>
              <w:top w:w="0" w:type="dxa"/>
              <w:left w:w="108" w:type="dxa"/>
              <w:bottom w:w="0" w:type="dxa"/>
              <w:right w:w="108" w:type="dxa"/>
            </w:tcMar>
            <w:vAlign w:val="center"/>
          </w:tcPr>
          <w:p w:rsidR="00155BE2" w:rsidRDefault="001A758C">
            <w:pPr>
              <w:spacing w:after="0" w:line="360" w:lineRule="auto"/>
              <w:jc w:val="center"/>
              <w:rPr>
                <w:rFonts w:ascii="Cambria" w:hAnsi="Cambria" w:cs="Arial"/>
                <w:b/>
                <w:bCs/>
                <w:color w:val="FFFFFF"/>
              </w:rPr>
            </w:pPr>
            <w:r>
              <w:rPr>
                <w:rFonts w:ascii="Cambria" w:hAnsi="Cambria" w:cs="Arial"/>
                <w:b/>
                <w:bCs/>
                <w:color w:val="FFFFFF"/>
              </w:rPr>
              <w:t>Gefahrenstoffe</w:t>
            </w:r>
          </w:p>
        </w:tc>
      </w:tr>
      <w:tr w:rsidR="00155BE2">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155BE2" w:rsidRDefault="001A758C">
            <w:pPr>
              <w:spacing w:after="0" w:line="276" w:lineRule="auto"/>
              <w:jc w:val="center"/>
            </w:pPr>
            <w:r>
              <w:rPr>
                <w:rFonts w:ascii="Cambria" w:hAnsi="Cambria" w:cs="Arial"/>
                <w:color w:val="1D1B11"/>
                <w:sz w:val="20"/>
              </w:rPr>
              <w:t xml:space="preserve">Wasser </w:t>
            </w:r>
          </w:p>
        </w:tc>
        <w:tc>
          <w:tcPr>
            <w:tcW w:w="2775"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155BE2" w:rsidRDefault="001A758C">
            <w:pPr>
              <w:spacing w:after="0" w:line="360" w:lineRule="auto"/>
            </w:pPr>
            <w:r>
              <w:rPr>
                <w:rFonts w:ascii="Cambria" w:hAnsi="Cambria" w:cs="Arial"/>
                <w:color w:val="1D1B11"/>
                <w:sz w:val="20"/>
              </w:rPr>
              <w:t xml:space="preserve">H: </w:t>
            </w:r>
            <w:r>
              <w:rPr>
                <w:rFonts w:ascii="Cambria" w:hAnsi="Cambria" w:cs="Arial"/>
                <w:color w:val="1D1B11"/>
              </w:rPr>
              <w:t>-</w:t>
            </w:r>
          </w:p>
        </w:tc>
        <w:tc>
          <w:tcPr>
            <w:tcW w:w="3520" w:type="dxa"/>
            <w:gridSpan w:val="4"/>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155BE2" w:rsidRDefault="001A758C">
            <w:pPr>
              <w:spacing w:after="0" w:line="360" w:lineRule="auto"/>
            </w:pPr>
            <w:r>
              <w:rPr>
                <w:rFonts w:ascii="Cambria" w:hAnsi="Cambria" w:cs="Arial"/>
                <w:color w:val="1D1B11"/>
                <w:sz w:val="20"/>
              </w:rPr>
              <w:t xml:space="preserve">P: </w:t>
            </w:r>
            <w:r>
              <w:rPr>
                <w:rFonts w:ascii="Cambria" w:hAnsi="Cambria" w:cs="Arial"/>
                <w:color w:val="1D1B11"/>
              </w:rPr>
              <w:t>-</w:t>
            </w:r>
          </w:p>
        </w:tc>
      </w:tr>
      <w:tr w:rsidR="00155BE2">
        <w:tblPrEx>
          <w:tblCellMar>
            <w:top w:w="0" w:type="dxa"/>
            <w:bottom w:w="0" w:type="dxa"/>
          </w:tblCellMar>
        </w:tblPrEx>
        <w:trPr>
          <w:trHeight w:val="434"/>
        </w:trPr>
        <w:tc>
          <w:tcPr>
            <w:tcW w:w="3027" w:type="dxa"/>
            <w:gridSpan w:val="3"/>
            <w:tcBorders>
              <w:left w:val="single" w:sz="8" w:space="0" w:color="4F81BD"/>
            </w:tcBorders>
            <w:shd w:val="clear" w:color="auto" w:fill="auto"/>
            <w:tcMar>
              <w:top w:w="0" w:type="dxa"/>
              <w:left w:w="108" w:type="dxa"/>
              <w:bottom w:w="0" w:type="dxa"/>
              <w:right w:w="108" w:type="dxa"/>
            </w:tcMar>
            <w:vAlign w:val="center"/>
          </w:tcPr>
          <w:p w:rsidR="00155BE2" w:rsidRDefault="001A758C">
            <w:pPr>
              <w:spacing w:after="0" w:line="276" w:lineRule="auto"/>
              <w:jc w:val="center"/>
            </w:pPr>
            <w:r>
              <w:rPr>
                <w:rFonts w:ascii="Cambria" w:hAnsi="Cambria" w:cs="Arial"/>
                <w:sz w:val="20"/>
                <w:szCs w:val="20"/>
              </w:rPr>
              <w:t>Natriumhydroxid</w:t>
            </w:r>
          </w:p>
        </w:tc>
        <w:tc>
          <w:tcPr>
            <w:tcW w:w="2775" w:type="dxa"/>
            <w:gridSpan w:val="3"/>
            <w:shd w:val="clear" w:color="auto" w:fill="auto"/>
            <w:tcMar>
              <w:top w:w="0" w:type="dxa"/>
              <w:left w:w="108" w:type="dxa"/>
              <w:bottom w:w="0" w:type="dxa"/>
              <w:right w:w="108" w:type="dxa"/>
            </w:tcMar>
            <w:vAlign w:val="center"/>
          </w:tcPr>
          <w:p w:rsidR="00155BE2" w:rsidRDefault="001A758C">
            <w:pPr>
              <w:spacing w:after="0" w:line="240" w:lineRule="auto"/>
              <w:rPr>
                <w:rFonts w:ascii="Cambria" w:hAnsi="Cambria" w:cs="Arial"/>
                <w:bCs/>
                <w:sz w:val="20"/>
                <w:szCs w:val="18"/>
              </w:rPr>
            </w:pPr>
            <w:r>
              <w:rPr>
                <w:rFonts w:ascii="Cambria" w:hAnsi="Cambria" w:cs="Arial"/>
                <w:bCs/>
                <w:sz w:val="20"/>
                <w:szCs w:val="18"/>
              </w:rPr>
              <w:t>H: 290​‐​314</w:t>
            </w:r>
          </w:p>
        </w:tc>
        <w:tc>
          <w:tcPr>
            <w:tcW w:w="3520" w:type="dxa"/>
            <w:gridSpan w:val="4"/>
            <w:tcBorders>
              <w:right w:val="single" w:sz="8" w:space="0" w:color="4F81BD"/>
            </w:tcBorders>
            <w:shd w:val="clear" w:color="auto" w:fill="auto"/>
            <w:tcMar>
              <w:top w:w="0" w:type="dxa"/>
              <w:left w:w="108" w:type="dxa"/>
              <w:bottom w:w="0" w:type="dxa"/>
              <w:right w:w="108" w:type="dxa"/>
            </w:tcMar>
            <w:vAlign w:val="center"/>
          </w:tcPr>
          <w:p w:rsidR="00155BE2" w:rsidRDefault="001A758C">
            <w:pPr>
              <w:spacing w:after="0" w:line="240" w:lineRule="auto"/>
              <w:rPr>
                <w:rFonts w:ascii="Cambria" w:hAnsi="Cambria" w:cs="Arial"/>
                <w:bCs/>
                <w:sz w:val="20"/>
                <w:szCs w:val="18"/>
              </w:rPr>
            </w:pPr>
            <w:r>
              <w:rPr>
                <w:rFonts w:ascii="Cambria" w:hAnsi="Cambria" w:cs="Arial"/>
                <w:bCs/>
                <w:sz w:val="20"/>
                <w:szCs w:val="18"/>
              </w:rPr>
              <w:t>P: 280​‐​301+330+331​‐​305+351+338​‐​308+310</w:t>
            </w:r>
          </w:p>
        </w:tc>
      </w:tr>
      <w:tr w:rsidR="00155BE2">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155BE2" w:rsidRDefault="001A758C">
            <w:pPr>
              <w:spacing w:after="0" w:line="276" w:lineRule="auto"/>
              <w:jc w:val="center"/>
            </w:pPr>
            <w:r>
              <w:rPr>
                <w:rFonts w:ascii="Cambria" w:hAnsi="Cambria" w:cs="Arial"/>
                <w:color w:val="1D1B11"/>
                <w:sz w:val="20"/>
              </w:rPr>
              <w:t xml:space="preserve">Zink </w:t>
            </w:r>
          </w:p>
        </w:tc>
        <w:tc>
          <w:tcPr>
            <w:tcW w:w="2775"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155BE2" w:rsidRDefault="001A758C">
            <w:pPr>
              <w:spacing w:after="0" w:line="360" w:lineRule="auto"/>
            </w:pPr>
            <w:r>
              <w:rPr>
                <w:rFonts w:ascii="Cambria" w:hAnsi="Cambria" w:cs="Arial"/>
                <w:color w:val="1D1B11"/>
                <w:sz w:val="20"/>
              </w:rPr>
              <w:t>H: 260​‐​250​‐​410</w:t>
            </w:r>
          </w:p>
        </w:tc>
        <w:tc>
          <w:tcPr>
            <w:tcW w:w="3520" w:type="dxa"/>
            <w:gridSpan w:val="4"/>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155BE2" w:rsidRDefault="001A758C">
            <w:pPr>
              <w:spacing w:after="0" w:line="360" w:lineRule="auto"/>
            </w:pPr>
            <w:r>
              <w:rPr>
                <w:rFonts w:ascii="Cambria" w:hAnsi="Cambria" w:cs="Arial"/>
                <w:color w:val="1D1B11"/>
                <w:sz w:val="20"/>
              </w:rPr>
              <w:t>P: 222​‐​223​‐​231+232​‐​273​‐​370+378​‐​422</w:t>
            </w:r>
          </w:p>
        </w:tc>
      </w:tr>
      <w:tr w:rsidR="00155BE2">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155BE2" w:rsidRDefault="001A758C">
            <w:pPr>
              <w:spacing w:after="0" w:line="276" w:lineRule="auto"/>
              <w:jc w:val="center"/>
            </w:pPr>
            <w:r>
              <w:rPr>
                <w:rFonts w:ascii="Cambria" w:hAnsi="Cambria" w:cs="Arial"/>
                <w:color w:val="1D1B11"/>
                <w:sz w:val="20"/>
              </w:rPr>
              <w:t>Salzsäure (verdünnt)</w:t>
            </w:r>
          </w:p>
        </w:tc>
        <w:tc>
          <w:tcPr>
            <w:tcW w:w="2775"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155BE2" w:rsidRDefault="001A758C">
            <w:pPr>
              <w:spacing w:after="0" w:line="360" w:lineRule="auto"/>
            </w:pPr>
            <w:r>
              <w:rPr>
                <w:rFonts w:ascii="Cambria" w:hAnsi="Cambria" w:cs="Arial"/>
                <w:color w:val="1D1B11"/>
                <w:sz w:val="20"/>
              </w:rPr>
              <w:t>H: 314​‐​335​‐​290</w:t>
            </w:r>
          </w:p>
        </w:tc>
        <w:tc>
          <w:tcPr>
            <w:tcW w:w="3520" w:type="dxa"/>
            <w:gridSpan w:val="4"/>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155BE2" w:rsidRDefault="001A758C">
            <w:pPr>
              <w:spacing w:after="0" w:line="360" w:lineRule="auto"/>
            </w:pPr>
            <w:r>
              <w:rPr>
                <w:rFonts w:ascii="Cambria" w:hAnsi="Cambria" w:cs="Arial"/>
                <w:color w:val="1D1B11"/>
                <w:sz w:val="20"/>
              </w:rPr>
              <w:t>P: 234​‐​260​‐​305+351+338​‐​303+361+353​‐​304+340​‐​309+311​‐​501</w:t>
            </w:r>
          </w:p>
        </w:tc>
      </w:tr>
      <w:tr w:rsidR="00155BE2">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155BE2" w:rsidRDefault="001A758C">
            <w:pPr>
              <w:spacing w:after="0" w:line="276" w:lineRule="auto"/>
              <w:jc w:val="center"/>
              <w:rPr>
                <w:rFonts w:ascii="Cambria" w:hAnsi="Cambria" w:cs="Arial"/>
                <w:color w:val="1D1B11"/>
                <w:sz w:val="20"/>
              </w:rPr>
            </w:pPr>
            <w:r>
              <w:rPr>
                <w:rFonts w:ascii="Cambria" w:hAnsi="Cambria" w:cs="Arial"/>
                <w:color w:val="1D1B11"/>
                <w:sz w:val="20"/>
              </w:rPr>
              <w:t>Messing</w:t>
            </w:r>
          </w:p>
        </w:tc>
        <w:tc>
          <w:tcPr>
            <w:tcW w:w="2775"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155BE2" w:rsidRDefault="001A758C">
            <w:pPr>
              <w:spacing w:after="0" w:line="360" w:lineRule="auto"/>
            </w:pPr>
            <w:r>
              <w:rPr>
                <w:rFonts w:ascii="Cambria" w:hAnsi="Cambria" w:cs="Arial"/>
                <w:color w:val="1D1B11"/>
                <w:sz w:val="20"/>
              </w:rPr>
              <w:t xml:space="preserve">H: </w:t>
            </w:r>
            <w:r>
              <w:rPr>
                <w:rFonts w:ascii="Cambria" w:hAnsi="Cambria" w:cs="Arial"/>
                <w:color w:val="1D1B11"/>
              </w:rPr>
              <w:t>-</w:t>
            </w:r>
          </w:p>
        </w:tc>
        <w:tc>
          <w:tcPr>
            <w:tcW w:w="3520" w:type="dxa"/>
            <w:gridSpan w:val="4"/>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155BE2" w:rsidRDefault="001A758C">
            <w:pPr>
              <w:spacing w:after="0" w:line="360" w:lineRule="auto"/>
            </w:pPr>
            <w:r>
              <w:rPr>
                <w:rFonts w:ascii="Cambria" w:hAnsi="Cambria" w:cs="Arial"/>
                <w:color w:val="1D1B11"/>
                <w:sz w:val="20"/>
              </w:rPr>
              <w:t xml:space="preserve">P: </w:t>
            </w:r>
            <w:r>
              <w:rPr>
                <w:rFonts w:ascii="Cambria" w:hAnsi="Cambria" w:cs="Arial"/>
                <w:color w:val="1D1B11"/>
              </w:rPr>
              <w:t>-</w:t>
            </w:r>
          </w:p>
        </w:tc>
      </w:tr>
      <w:tr w:rsidR="00155BE2">
        <w:tblPrEx>
          <w:tblCellMar>
            <w:top w:w="0" w:type="dxa"/>
            <w:bottom w:w="0" w:type="dxa"/>
          </w:tblCellMar>
        </w:tblPrEx>
        <w:tc>
          <w:tcPr>
            <w:tcW w:w="1009"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155BE2" w:rsidRDefault="001A758C">
            <w:pPr>
              <w:spacing w:after="0" w:line="360" w:lineRule="auto"/>
              <w:jc w:val="center"/>
            </w:pPr>
            <w:r>
              <w:rPr>
                <w:rFonts w:ascii="Cambria" w:hAnsi="Cambria" w:cs="Arial"/>
                <w:b/>
                <w:bCs/>
                <w:noProof/>
                <w:color w:val="1D1B11"/>
                <w:lang w:eastAsia="de-DE"/>
              </w:rPr>
              <w:drawing>
                <wp:inline distT="0" distB="0" distL="0" distR="0">
                  <wp:extent cx="552453" cy="552453"/>
                  <wp:effectExtent l="0" t="0" r="0" b="0"/>
                  <wp:docPr id="2" name="Grafik 44" descr="C:\Users\Caro\Desktop\SVP\Piktogramme\Ät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552453" cy="552453"/>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155BE2" w:rsidRDefault="001A758C">
            <w:pPr>
              <w:spacing w:after="0" w:line="360" w:lineRule="auto"/>
              <w:jc w:val="center"/>
            </w:pPr>
            <w:r>
              <w:rPr>
                <w:rFonts w:ascii="Cambria" w:hAnsi="Cambria" w:cs="Arial"/>
                <w:noProof/>
                <w:color w:val="1D1B11"/>
                <w:lang w:eastAsia="de-DE"/>
              </w:rPr>
              <w:drawing>
                <wp:inline distT="0" distB="0" distL="0" distR="0">
                  <wp:extent cx="504191" cy="504191"/>
                  <wp:effectExtent l="0" t="0" r="0" b="0"/>
                  <wp:docPr id="3" name="Grafik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155BE2" w:rsidRDefault="001A758C">
            <w:pPr>
              <w:spacing w:after="0" w:line="360" w:lineRule="auto"/>
              <w:jc w:val="center"/>
            </w:pPr>
            <w:r>
              <w:rPr>
                <w:rFonts w:ascii="Cambria" w:hAnsi="Cambria" w:cs="Arial"/>
                <w:noProof/>
                <w:color w:val="1D1B11"/>
                <w:lang w:eastAsia="de-DE"/>
              </w:rPr>
              <w:drawing>
                <wp:inline distT="0" distB="0" distL="0" distR="0">
                  <wp:extent cx="552453" cy="552453"/>
                  <wp:effectExtent l="0" t="0" r="0" b="0"/>
                  <wp:docPr id="4" name="Grafik 49" descr="C:\Users\Caro\Desktop\SVP\Piktogramme\Brennba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52453" cy="552453"/>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155BE2" w:rsidRDefault="001A758C">
            <w:pPr>
              <w:spacing w:after="0" w:line="360" w:lineRule="auto"/>
              <w:jc w:val="center"/>
            </w:pPr>
            <w:r>
              <w:rPr>
                <w:rFonts w:ascii="Cambria" w:hAnsi="Cambria" w:cs="Arial"/>
                <w:noProof/>
                <w:color w:val="1D1B11"/>
                <w:lang w:eastAsia="de-DE"/>
              </w:rPr>
              <w:drawing>
                <wp:inline distT="0" distB="0" distL="0" distR="0">
                  <wp:extent cx="504191" cy="504191"/>
                  <wp:effectExtent l="0" t="0" r="0" b="0"/>
                  <wp:docPr id="5" name="Grafik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04191" cy="504191"/>
                          </a:xfrm>
                          <a:prstGeom prst="rect">
                            <a:avLst/>
                          </a:prstGeom>
                          <a:noFill/>
                          <a:ln>
                            <a:noFill/>
                            <a:prstDash/>
                          </a:ln>
                        </pic:spPr>
                      </pic:pic>
                    </a:graphicData>
                  </a:graphic>
                </wp:inline>
              </w:drawing>
            </w:r>
          </w:p>
        </w:tc>
        <w:tc>
          <w:tcPr>
            <w:tcW w:w="11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155BE2" w:rsidRDefault="001A758C">
            <w:pPr>
              <w:spacing w:after="0" w:line="360" w:lineRule="auto"/>
              <w:jc w:val="center"/>
            </w:pPr>
            <w:r>
              <w:rPr>
                <w:rFonts w:ascii="Cambria" w:hAnsi="Cambria" w:cs="Arial"/>
                <w:noProof/>
                <w:color w:val="1D1B11"/>
                <w:lang w:eastAsia="de-DE"/>
              </w:rPr>
              <w:drawing>
                <wp:inline distT="0" distB="0" distL="0" distR="0">
                  <wp:extent cx="504191" cy="504191"/>
                  <wp:effectExtent l="0" t="0" r="0" b="0"/>
                  <wp:docPr id="6" name="Grafik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04191" cy="504191"/>
                          </a:xfrm>
                          <a:prstGeom prst="rect">
                            <a:avLst/>
                          </a:prstGeom>
                          <a:noFill/>
                          <a:ln>
                            <a:noFill/>
                            <a:prstDash/>
                          </a:ln>
                        </pic:spPr>
                      </pic:pic>
                    </a:graphicData>
                  </a:graphic>
                </wp:inline>
              </w:drawing>
            </w:r>
          </w:p>
        </w:tc>
        <w:tc>
          <w:tcPr>
            <w:tcW w:w="993" w:type="dxa"/>
            <w:gridSpan w:val="2"/>
            <w:tcBorders>
              <w:top w:val="single" w:sz="8" w:space="0" w:color="4F81BD"/>
              <w:bottom w:val="single" w:sz="8" w:space="0" w:color="4F81BD"/>
            </w:tcBorders>
            <w:shd w:val="clear" w:color="auto" w:fill="auto"/>
            <w:tcMar>
              <w:top w:w="0" w:type="dxa"/>
              <w:left w:w="108" w:type="dxa"/>
              <w:bottom w:w="0" w:type="dxa"/>
              <w:right w:w="108" w:type="dxa"/>
            </w:tcMar>
            <w:vAlign w:val="center"/>
          </w:tcPr>
          <w:p w:rsidR="00155BE2" w:rsidRDefault="001A758C">
            <w:pPr>
              <w:spacing w:after="0" w:line="360" w:lineRule="auto"/>
              <w:jc w:val="center"/>
            </w:pPr>
            <w:r>
              <w:rPr>
                <w:rFonts w:ascii="Cambria" w:hAnsi="Cambria" w:cs="Arial"/>
                <w:noProof/>
                <w:color w:val="1D1B11"/>
                <w:lang w:eastAsia="de-DE"/>
              </w:rPr>
              <w:drawing>
                <wp:inline distT="0" distB="0" distL="0" distR="0">
                  <wp:extent cx="504191" cy="504191"/>
                  <wp:effectExtent l="0" t="0" r="0" b="0"/>
                  <wp:docPr id="7" name="Grafik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04191" cy="504191"/>
                          </a:xfrm>
                          <a:prstGeom prst="rect">
                            <a:avLst/>
                          </a:prstGeom>
                          <a:noFill/>
                          <a:ln>
                            <a:noFill/>
                            <a:prstDash/>
                          </a:ln>
                        </pic:spPr>
                      </pic:pic>
                    </a:graphicData>
                  </a:graphic>
                </wp:inline>
              </w:drawing>
            </w:r>
          </w:p>
        </w:tc>
        <w:tc>
          <w:tcPr>
            <w:tcW w:w="9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155BE2" w:rsidRDefault="001A758C">
            <w:pPr>
              <w:spacing w:after="0" w:line="360" w:lineRule="auto"/>
              <w:jc w:val="center"/>
            </w:pPr>
            <w:r>
              <w:rPr>
                <w:rFonts w:ascii="Cambria" w:hAnsi="Cambria" w:cs="Arial"/>
                <w:noProof/>
                <w:color w:val="1D1B11"/>
                <w:lang w:eastAsia="de-DE"/>
              </w:rPr>
              <w:drawing>
                <wp:inline distT="0" distB="0" distL="0" distR="0">
                  <wp:extent cx="504191" cy="504191"/>
                  <wp:effectExtent l="0" t="0" r="0" b="0"/>
                  <wp:docPr id="8" name="Grafik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155BE2" w:rsidRDefault="001A758C">
            <w:pPr>
              <w:spacing w:after="0" w:line="360" w:lineRule="auto"/>
              <w:jc w:val="center"/>
            </w:pPr>
            <w:r>
              <w:rPr>
                <w:rFonts w:ascii="Cambria" w:hAnsi="Cambria" w:cs="Arial"/>
                <w:noProof/>
                <w:color w:val="1D1B11"/>
                <w:lang w:eastAsia="de-DE"/>
              </w:rPr>
              <w:drawing>
                <wp:inline distT="0" distB="0" distL="0" distR="0">
                  <wp:extent cx="581028" cy="581028"/>
                  <wp:effectExtent l="0" t="0" r="9522" b="9522"/>
                  <wp:docPr id="9" name="Grafik 51" descr="C:\Users\Caro\Desktop\SVP\Piktogramme\Rei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81028" cy="581028"/>
                          </a:xfrm>
                          <a:prstGeom prst="rect">
                            <a:avLst/>
                          </a:prstGeom>
                          <a:noFill/>
                          <a:ln>
                            <a:noFill/>
                            <a:prstDash/>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155BE2" w:rsidRDefault="001A758C">
            <w:pPr>
              <w:spacing w:after="0" w:line="360" w:lineRule="auto"/>
              <w:jc w:val="center"/>
            </w:pPr>
            <w:r>
              <w:rPr>
                <w:rFonts w:ascii="Cambria" w:hAnsi="Cambria" w:cs="Arial"/>
                <w:noProof/>
                <w:color w:val="1D1B11"/>
                <w:lang w:eastAsia="de-DE"/>
              </w:rPr>
              <w:drawing>
                <wp:inline distT="0" distB="0" distL="0" distR="0">
                  <wp:extent cx="552453" cy="552453"/>
                  <wp:effectExtent l="0" t="0" r="0" b="0"/>
                  <wp:docPr id="10" name="Grafik 50" descr="C:\Users\Caro\Desktop\SVP\Piktogramme\Umweltgefah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552453" cy="552453"/>
                          </a:xfrm>
                          <a:prstGeom prst="rect">
                            <a:avLst/>
                          </a:prstGeom>
                          <a:noFill/>
                          <a:ln>
                            <a:noFill/>
                            <a:prstDash/>
                          </a:ln>
                        </pic:spPr>
                      </pic:pic>
                    </a:graphicData>
                  </a:graphic>
                </wp:inline>
              </w:drawing>
            </w:r>
          </w:p>
        </w:tc>
      </w:tr>
    </w:tbl>
    <w:p w:rsidR="00155BE2" w:rsidRDefault="00155BE2">
      <w:pPr>
        <w:tabs>
          <w:tab w:val="left" w:pos="1701"/>
          <w:tab w:val="left" w:pos="1985"/>
        </w:tabs>
        <w:spacing w:after="200" w:line="360" w:lineRule="auto"/>
        <w:ind w:left="1980" w:hanging="1980"/>
        <w:jc w:val="both"/>
        <w:rPr>
          <w:rFonts w:ascii="Cambria" w:hAnsi="Cambria" w:cs="Arial"/>
          <w:color w:val="1D1B11"/>
        </w:rPr>
      </w:pPr>
    </w:p>
    <w:p w:rsidR="00155BE2" w:rsidRDefault="001A758C">
      <w:pPr>
        <w:tabs>
          <w:tab w:val="left" w:pos="1701"/>
          <w:tab w:val="left" w:pos="1985"/>
        </w:tabs>
        <w:spacing w:after="200" w:line="360" w:lineRule="auto"/>
        <w:ind w:left="1980" w:hanging="1980"/>
        <w:jc w:val="both"/>
        <w:rPr>
          <w:rFonts w:ascii="Cambria" w:hAnsi="Cambria" w:cs="Arial"/>
          <w:color w:val="1D1B11"/>
        </w:rPr>
      </w:pPr>
      <w:r>
        <w:rPr>
          <w:rFonts w:ascii="Cambria" w:hAnsi="Cambria" w:cs="Arial"/>
          <w:color w:val="1D1B11"/>
        </w:rPr>
        <w:t xml:space="preserve">Materialien: </w:t>
      </w:r>
      <w:r>
        <w:rPr>
          <w:rFonts w:ascii="Cambria" w:hAnsi="Cambria" w:cs="Arial"/>
          <w:color w:val="1D1B11"/>
        </w:rPr>
        <w:tab/>
      </w:r>
      <w:r>
        <w:rPr>
          <w:rFonts w:ascii="Cambria" w:hAnsi="Cambria" w:cs="Arial"/>
          <w:color w:val="1D1B11"/>
        </w:rPr>
        <w:tab/>
        <w:t>mittelgroßes Becherglas, Dreifuß mit Drahtnetz, Gasbrenner, Feuerzeug, Tiegelzange, Petrischale, Kupfermünzen, Pasteurpipette mit Hütchen</w:t>
      </w:r>
    </w:p>
    <w:p w:rsidR="00155BE2" w:rsidRDefault="001A758C">
      <w:pPr>
        <w:tabs>
          <w:tab w:val="left" w:pos="1701"/>
          <w:tab w:val="left" w:pos="1985"/>
        </w:tabs>
        <w:spacing w:after="200" w:line="360" w:lineRule="auto"/>
        <w:ind w:left="1980" w:hanging="1980"/>
        <w:jc w:val="both"/>
        <w:rPr>
          <w:rFonts w:ascii="Cambria" w:hAnsi="Cambria" w:cs="Arial"/>
          <w:color w:val="1D1B11"/>
        </w:rPr>
      </w:pPr>
      <w:r>
        <w:rPr>
          <w:rFonts w:ascii="Cambria" w:hAnsi="Cambria" w:cs="Arial"/>
          <w:color w:val="1D1B11"/>
        </w:rPr>
        <w:t>Chemikalien:</w:t>
      </w:r>
      <w:r>
        <w:rPr>
          <w:rFonts w:ascii="Cambria" w:hAnsi="Cambria" w:cs="Arial"/>
          <w:color w:val="1D1B11"/>
        </w:rPr>
        <w:tab/>
      </w:r>
      <w:r>
        <w:rPr>
          <w:rFonts w:ascii="Cambria" w:hAnsi="Cambria" w:cs="Arial"/>
          <w:color w:val="1D1B11"/>
        </w:rPr>
        <w:tab/>
        <w:t xml:space="preserve"> verdünnte Salzsäure, Zinkpulver, </w:t>
      </w:r>
      <w:r>
        <w:rPr>
          <w:rFonts w:ascii="Cambria" w:hAnsi="Cambria" w:cs="Arial"/>
          <w:color w:val="1D1B11"/>
        </w:rPr>
        <w:t xml:space="preserve">Natriumhydroxidplättchen  </w:t>
      </w:r>
    </w:p>
    <w:p w:rsidR="00155BE2" w:rsidRDefault="001A758C">
      <w:pPr>
        <w:tabs>
          <w:tab w:val="left" w:pos="1701"/>
          <w:tab w:val="left" w:pos="1985"/>
        </w:tabs>
        <w:spacing w:after="200" w:line="360" w:lineRule="auto"/>
        <w:ind w:left="1980" w:hanging="1980"/>
        <w:jc w:val="both"/>
        <w:rPr>
          <w:rFonts w:ascii="Cambria" w:hAnsi="Cambria" w:cs="Arial"/>
          <w:color w:val="1D1B11"/>
        </w:rPr>
      </w:pPr>
      <w:r>
        <w:rPr>
          <w:rFonts w:ascii="Cambria" w:hAnsi="Cambria" w:cs="Arial"/>
          <w:color w:val="1D1B11"/>
        </w:rPr>
        <w:t xml:space="preserve">Durchführung: </w:t>
      </w:r>
      <w:r>
        <w:rPr>
          <w:rFonts w:ascii="Cambria" w:hAnsi="Cambria" w:cs="Arial"/>
          <w:color w:val="1D1B11"/>
        </w:rPr>
        <w:tab/>
      </w:r>
      <w:r>
        <w:rPr>
          <w:rFonts w:ascii="Cambria" w:hAnsi="Cambria" w:cs="Arial"/>
          <w:color w:val="1D1B11"/>
        </w:rPr>
        <w:tab/>
      </w:r>
      <w:r>
        <w:rPr>
          <w:rFonts w:ascii="Cambria" w:hAnsi="Cambria" w:cs="Arial"/>
          <w:color w:val="1D1B11"/>
        </w:rPr>
        <w:tab/>
        <w:t xml:space="preserve">Die Kupfermünzen werden in der Petrischale vorsichtig mit verdünnter Salzsäure gereinigt. Im Becherglas wir die wässrige Suspension aus wenigen Natriumhydroxidplättchen und einer Spatelspitze Zinkpulver erhitzt. </w:t>
      </w:r>
      <w:r>
        <w:rPr>
          <w:rFonts w:ascii="Cambria" w:hAnsi="Cambria" w:cs="Arial"/>
          <w:color w:val="1D1B11"/>
        </w:rPr>
        <w:t>Die Kupfermünzen werden zur Lösung gegeben und bis zum Einsetzen des Siedens erhitzt. Sobald die Münzen mit einer silbrigen Schicht überzogen sind, können sie mithilfe der Tiegelzange aus der Suspension entfernt und vorsichtig abgetrocknet werden. Im Ansch</w:t>
      </w:r>
      <w:r>
        <w:rPr>
          <w:rFonts w:ascii="Cambria" w:hAnsi="Cambria" w:cs="Arial"/>
          <w:color w:val="1D1B11"/>
        </w:rPr>
        <w:t xml:space="preserve">luss werden die Münzen vorsichtig in der nicht-leuchtenden Gasbrennerflamme erhitzt, bis ein Farbumschlag erkennbar wird. </w:t>
      </w:r>
    </w:p>
    <w:p w:rsidR="00155BE2" w:rsidRDefault="001A758C">
      <w:pPr>
        <w:tabs>
          <w:tab w:val="left" w:pos="1701"/>
          <w:tab w:val="left" w:pos="1985"/>
        </w:tabs>
        <w:spacing w:after="200" w:line="360" w:lineRule="auto"/>
        <w:ind w:left="1980" w:hanging="1980"/>
        <w:jc w:val="both"/>
      </w:pPr>
      <w:r>
        <w:rPr>
          <w:rFonts w:ascii="Cambria" w:hAnsi="Cambria" w:cs="Arial"/>
          <w:color w:val="000000"/>
        </w:rPr>
        <w:t>Beobachtung:</w:t>
      </w:r>
      <w:r>
        <w:rPr>
          <w:rFonts w:ascii="Cambria" w:hAnsi="Cambria" w:cs="Arial"/>
          <w:color w:val="FF0000"/>
        </w:rPr>
        <w:tab/>
      </w:r>
      <w:r>
        <w:rPr>
          <w:rFonts w:ascii="Cambria" w:hAnsi="Cambria" w:cs="Arial"/>
          <w:color w:val="FF0000"/>
        </w:rPr>
        <w:tab/>
      </w:r>
      <w:r>
        <w:rPr>
          <w:rFonts w:ascii="Cambria" w:hAnsi="Cambria" w:cs="Arial"/>
          <w:color w:val="000000"/>
        </w:rPr>
        <w:t>Bei der Reinigung mit verdünnter Salzsäure erhalten die Münzen ihr glänzendes Aussehen zurück. Beim Erhitzen in der Nat</w:t>
      </w:r>
      <w:r>
        <w:rPr>
          <w:rFonts w:ascii="Cambria" w:hAnsi="Cambria" w:cs="Arial"/>
          <w:color w:val="000000"/>
        </w:rPr>
        <w:t xml:space="preserve">riumhydroxid-Zinkpulver-Suspension bildet sich ein anthrazit-silberfarbener Überzug. </w:t>
      </w:r>
      <w:r>
        <w:rPr>
          <w:rFonts w:ascii="Cambria" w:hAnsi="Cambria" w:cs="Arial"/>
          <w:color w:val="000000"/>
        </w:rPr>
        <w:lastRenderedPageBreak/>
        <w:t xml:space="preserve">Beim anschließenden Erhitzen über der Gasbrennerflamme zeigt sich ein Farbumschlag zu gelb-gold. </w:t>
      </w:r>
    </w:p>
    <w:p w:rsidR="00155BE2" w:rsidRDefault="001A758C">
      <w:pPr>
        <w:keepNext/>
        <w:tabs>
          <w:tab w:val="left" w:pos="1701"/>
          <w:tab w:val="left" w:pos="1985"/>
        </w:tabs>
        <w:spacing w:after="200" w:line="360" w:lineRule="auto"/>
        <w:ind w:left="1980" w:hanging="1980"/>
        <w:jc w:val="center"/>
      </w:pPr>
      <w:r>
        <w:rPr>
          <w:rFonts w:ascii="Cambria" w:hAnsi="Cambria" w:cs="Arial"/>
          <w:color w:val="1D1B11"/>
        </w:rPr>
        <w:t xml:space="preserve">                                     </w:t>
      </w:r>
      <w:r>
        <w:rPr>
          <w:rFonts w:ascii="Cambria" w:hAnsi="Cambria" w:cs="Arial"/>
          <w:noProof/>
          <w:color w:val="1D1B11"/>
          <w:lang w:eastAsia="de-DE"/>
        </w:rPr>
        <w:drawing>
          <wp:inline distT="0" distB="0" distL="0" distR="0">
            <wp:extent cx="2367052" cy="1012195"/>
            <wp:effectExtent l="0" t="0" r="0" b="0"/>
            <wp:docPr id="11" name="Grafik 53" descr="C:\Users\Caro\Desktop\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2367052" cy="1012195"/>
                    </a:xfrm>
                    <a:prstGeom prst="rect">
                      <a:avLst/>
                    </a:prstGeom>
                    <a:noFill/>
                    <a:ln>
                      <a:noFill/>
                      <a:prstDash/>
                    </a:ln>
                  </pic:spPr>
                </pic:pic>
              </a:graphicData>
            </a:graphic>
          </wp:inline>
        </w:drawing>
      </w:r>
    </w:p>
    <w:p w:rsidR="00155BE2" w:rsidRDefault="001A758C">
      <w:pPr>
        <w:spacing w:after="200" w:line="240" w:lineRule="auto"/>
        <w:jc w:val="center"/>
      </w:pPr>
      <w:r>
        <w:rPr>
          <w:rFonts w:ascii="Cambria" w:hAnsi="Cambria" w:cs="Arial"/>
          <w:bCs/>
          <w:color w:val="000000"/>
          <w:sz w:val="18"/>
          <w:szCs w:val="18"/>
        </w:rPr>
        <w:t xml:space="preserve">                            Abb. 3</w:t>
      </w:r>
      <w:r>
        <w:rPr>
          <w:rFonts w:ascii="Cambria" w:hAnsi="Cambria" w:cs="Arial"/>
          <w:bCs/>
          <w:color w:val="000000"/>
          <w:sz w:val="18"/>
          <w:szCs w:val="18"/>
        </w:rPr>
        <w:t xml:space="preserve"> -  Die Farben der Münzen im Prozess.</w:t>
      </w:r>
    </w:p>
    <w:p w:rsidR="00155BE2" w:rsidRDefault="001A758C">
      <w:pPr>
        <w:tabs>
          <w:tab w:val="left" w:pos="1701"/>
          <w:tab w:val="left" w:pos="1985"/>
        </w:tabs>
        <w:spacing w:after="200" w:line="360" w:lineRule="auto"/>
        <w:ind w:left="2124" w:hanging="2124"/>
        <w:jc w:val="both"/>
        <w:rPr>
          <w:rFonts w:ascii="Cambria" w:hAnsi="Cambria" w:cs="Arial"/>
          <w:color w:val="1D1B11"/>
        </w:rPr>
      </w:pPr>
      <w:r>
        <w:rPr>
          <w:rFonts w:ascii="Cambria" w:hAnsi="Cambria" w:cs="Arial"/>
          <w:color w:val="1D1B11"/>
        </w:rPr>
        <w:t xml:space="preserve">Deutung: </w:t>
      </w:r>
      <w:r>
        <w:rPr>
          <w:rFonts w:ascii="Cambria" w:hAnsi="Cambria" w:cs="Arial"/>
          <w:color w:val="1D1B11"/>
        </w:rPr>
        <w:tab/>
      </w:r>
      <w:r>
        <w:rPr>
          <w:rFonts w:ascii="Cambria" w:hAnsi="Cambria" w:cs="Arial"/>
          <w:color w:val="1D1B11"/>
        </w:rPr>
        <w:tab/>
      </w:r>
      <w:r>
        <w:rPr>
          <w:rFonts w:ascii="Cambria" w:hAnsi="Cambria" w:cs="Arial"/>
          <w:color w:val="1D1B11"/>
        </w:rPr>
        <w:tab/>
        <w:t>Zink wird mit einer sehr dünnen, sehr festen Oxidschicht überzogen, die das Zink passiviert. Damit die Zinkoxidschicht an der Oberfläche in Lösung gehen kann, muss in einem alkalischen Milieu gearbeitet wer</w:t>
      </w:r>
      <w:r>
        <w:rPr>
          <w:rFonts w:ascii="Cambria" w:hAnsi="Cambria" w:cs="Arial"/>
          <w:color w:val="1D1B11"/>
        </w:rPr>
        <w:t xml:space="preserve">den. Es entsteht der Tetrahydroxidozinkat(II)-Komplex. </w:t>
      </w:r>
    </w:p>
    <w:p w:rsidR="00155BE2" w:rsidRDefault="001A758C">
      <w:pPr>
        <w:tabs>
          <w:tab w:val="left" w:pos="1701"/>
          <w:tab w:val="left" w:pos="1985"/>
        </w:tabs>
        <w:spacing w:after="200" w:line="360" w:lineRule="auto"/>
        <w:ind w:left="2124" w:hanging="2124"/>
        <w:jc w:val="both"/>
      </w:pPr>
      <w:r>
        <w:rPr>
          <w:rFonts w:ascii="Cambria" w:hAnsi="Cambria" w:cs="Arial"/>
          <w:color w:val="1D1B11"/>
        </w:rPr>
        <w:tab/>
      </w:r>
      <w:r>
        <w:rPr>
          <w:rFonts w:ascii="Cambria" w:hAnsi="Cambria" w:cs="Arial"/>
          <w:color w:val="1D1B11"/>
        </w:rPr>
        <w:tab/>
        <w:t xml:space="preserve">  </w:t>
      </w:r>
      <m:oMath>
        <m:r>
          <m:rPr>
            <m:sty m:val="p"/>
          </m:rPr>
          <w:rPr>
            <w:rFonts w:ascii="Cambria Math" w:hAnsi="Cambria Math"/>
          </w:rPr>
          <m:t>Zn</m:t>
        </m:r>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s</m:t>
                </m:r>
              </m:e>
            </m:d>
          </m:sub>
        </m:sSub>
        <m:r>
          <w:rPr>
            <w:rFonts w:ascii="Cambria Math" w:hAnsi="Cambria Math"/>
          </w:rPr>
          <m:t>+</m:t>
        </m:r>
        <m:sSub>
          <m:sSubPr>
            <m:ctrlPr>
              <w:rPr>
                <w:rFonts w:ascii="Cambria Math" w:hAnsi="Cambria Math"/>
              </w:rPr>
            </m:ctrlPr>
          </m:sSubPr>
          <m:e>
            <m:r>
              <m:rPr>
                <m:sty m:val="p"/>
              </m:rPr>
              <w:rPr>
                <w:rFonts w:ascii="Cambria Math" w:hAnsi="Cambria Math"/>
              </w:rPr>
              <m:t>H</m:t>
            </m:r>
          </m:e>
          <m:sub>
            <m:r>
              <w:rPr>
                <w:rFonts w:ascii="Cambria Math" w:hAnsi="Cambria Math"/>
              </w:rPr>
              <m:t>2</m:t>
            </m:r>
          </m:sub>
        </m:sSub>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l</m:t>
                </m:r>
              </m:e>
            </m:d>
          </m:sub>
        </m:sSub>
        <m:r>
          <w:rPr>
            <w:rFonts w:ascii="Cambria Math" w:hAnsi="Cambria Math"/>
          </w:rPr>
          <m:t>+2</m:t>
        </m:r>
        <m:r>
          <m:rPr>
            <m:sty m:val="p"/>
          </m:rPr>
          <w:rPr>
            <w:rFonts w:ascii="Cambria Math" w:hAnsi="Cambria Math"/>
          </w:rPr>
          <m:t xml:space="preserve"> O</m:t>
        </m:r>
        <m:sSubSup>
          <m:sSubSupPr>
            <m:ctrlPr>
              <w:rPr>
                <w:rFonts w:ascii="Cambria Math" w:hAnsi="Cambria Math"/>
              </w:rPr>
            </m:ctrlPr>
          </m:sSubSupPr>
          <m:e>
            <m:r>
              <m:rPr>
                <m:sty m:val="p"/>
              </m:rPr>
              <w:rPr>
                <w:rFonts w:ascii="Cambria Math" w:hAnsi="Cambria Math"/>
              </w:rPr>
              <m:t>H</m:t>
            </m:r>
          </m:e>
          <m:sub>
            <m:d>
              <m:dPr>
                <m:ctrlPr>
                  <w:rPr>
                    <w:rFonts w:ascii="Cambria Math" w:hAnsi="Cambria Math"/>
                  </w:rPr>
                </m:ctrlPr>
              </m:dPr>
              <m:e>
                <m:r>
                  <m:rPr>
                    <m:sty m:val="p"/>
                  </m:rPr>
                  <w:rPr>
                    <w:rFonts w:ascii="Cambria Math" w:hAnsi="Cambria Math"/>
                  </w:rPr>
                  <m:t>aq</m:t>
                </m:r>
              </m:e>
            </m:d>
          </m:sub>
          <m:sup>
            <m:r>
              <w:rPr>
                <w:rFonts w:ascii="Cambria Math" w:hAnsi="Cambria Math"/>
              </w:rPr>
              <m:t>-</m:t>
            </m:r>
          </m:sup>
        </m:sSubSup>
        <m: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m:rPr>
                    <m:sty m:val="p"/>
                  </m:rPr>
                  <w:rPr>
                    <w:rFonts w:ascii="Cambria Math" w:hAnsi="Cambria Math"/>
                  </w:rPr>
                  <m:t>Zn</m:t>
                </m:r>
                <m:sSub>
                  <m:sSubPr>
                    <m:ctrlPr>
                      <w:rPr>
                        <w:rFonts w:ascii="Cambria Math" w:hAnsi="Cambria Math"/>
                      </w:rPr>
                    </m:ctrlPr>
                  </m:sSubPr>
                  <m:e>
                    <m:d>
                      <m:dPr>
                        <m:ctrlPr>
                          <w:rPr>
                            <w:rFonts w:ascii="Cambria Math" w:hAnsi="Cambria Math"/>
                          </w:rPr>
                        </m:ctrlPr>
                      </m:dPr>
                      <m:e>
                        <m:r>
                          <m:rPr>
                            <m:sty m:val="p"/>
                          </m:rPr>
                          <w:rPr>
                            <w:rFonts w:ascii="Cambria Math" w:hAnsi="Cambria Math"/>
                          </w:rPr>
                          <m:t>OH</m:t>
                        </m:r>
                      </m:e>
                    </m:d>
                  </m:e>
                  <m:sub>
                    <m:r>
                      <w:rPr>
                        <w:rFonts w:ascii="Cambria Math" w:hAnsi="Cambria Math"/>
                      </w:rPr>
                      <m:t>4</m:t>
                    </m:r>
                  </m:sub>
                </m:sSub>
              </m:e>
            </m:d>
          </m:e>
          <m:sub>
            <m:d>
              <m:dPr>
                <m:ctrlPr>
                  <w:rPr>
                    <w:rFonts w:ascii="Cambria Math" w:hAnsi="Cambria Math"/>
                  </w:rPr>
                </m:ctrlPr>
              </m:dPr>
              <m:e>
                <m:r>
                  <m:rPr>
                    <m:sty m:val="p"/>
                  </m:rPr>
                  <w:rPr>
                    <w:rFonts w:ascii="Cambria Math" w:hAnsi="Cambria Math"/>
                  </w:rPr>
                  <m:t>aq</m:t>
                </m:r>
              </m:e>
            </m:d>
          </m:sub>
          <m:sup>
            <m:r>
              <w:rPr>
                <w:rFonts w:ascii="Cambria Math" w:hAnsi="Cambria Math"/>
              </w:rPr>
              <m:t>2-</m:t>
            </m:r>
          </m:sup>
        </m:sSubSup>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oMath>
      <w:r>
        <w:rPr>
          <w:rFonts w:ascii="Cambria" w:hAnsi="Cambria" w:cs="Arial"/>
          <w:color w:val="1D1B11"/>
        </w:rPr>
        <w:tab/>
      </w:r>
    </w:p>
    <w:p w:rsidR="00155BE2" w:rsidRDefault="001A758C">
      <w:pPr>
        <w:spacing w:after="200" w:line="360" w:lineRule="auto"/>
        <w:ind w:left="2124" w:hanging="2124"/>
        <w:jc w:val="both"/>
        <w:rPr>
          <w:rFonts w:ascii="Cambria" w:hAnsi="Cambria" w:cs="Arial"/>
          <w:color w:val="1D1B11"/>
        </w:rPr>
      </w:pPr>
      <w:r>
        <w:rPr>
          <w:rFonts w:ascii="Cambria" w:hAnsi="Cambria" w:cs="Arial"/>
          <w:color w:val="1D1B11"/>
        </w:rPr>
        <w:tab/>
        <w:t xml:space="preserve">Die freigesetzten Zinkatome ergeben mit den Kupferatomen der Münzen die Legierung Messing.  Es entsteht ein typisches Metallgitter aus verschiedenen Metallionen (Zn und Cu) und freibeweglichen </w:t>
      </w:r>
      <w:r>
        <w:rPr>
          <w:rFonts w:ascii="Cambria" w:hAnsi="Cambria" w:cs="Arial"/>
          <w:color w:val="1D1B11"/>
        </w:rPr>
        <w:t>Elektronen. Durch das Erhitzen der Münzen wird die Messingbildung beschleunigt.</w:t>
      </w:r>
    </w:p>
    <w:p w:rsidR="00155BE2" w:rsidRDefault="001A758C">
      <w:pPr>
        <w:spacing w:after="200" w:line="360" w:lineRule="auto"/>
        <w:ind w:left="2124" w:hanging="2124"/>
        <w:jc w:val="both"/>
      </w:pPr>
      <w:r>
        <w:rPr>
          <w:rFonts w:ascii="Cambria" w:hAnsi="Cambria" w:cs="Arial"/>
          <w:color w:val="1D1B11"/>
        </w:rPr>
        <w:tab/>
      </w:r>
      <w:r>
        <w:rPr>
          <w:rFonts w:ascii="Cambria" w:hAnsi="Cambria" w:cs="Arial"/>
          <w:color w:val="1D1B11"/>
          <w:u w:val="single"/>
        </w:rPr>
        <w:t>Schülererklärung</w:t>
      </w:r>
      <w:r>
        <w:rPr>
          <w:rFonts w:ascii="Cambria" w:hAnsi="Cambria" w:cs="Arial"/>
          <w:color w:val="1D1B11"/>
        </w:rPr>
        <w:t xml:space="preserve"> (didaktisch reduziert wird die Komplexbildung):</w:t>
      </w:r>
    </w:p>
    <w:p w:rsidR="00155BE2" w:rsidRDefault="001A758C">
      <w:pPr>
        <w:spacing w:after="200" w:line="360" w:lineRule="auto"/>
        <w:ind w:left="2124" w:hanging="2124"/>
        <w:jc w:val="both"/>
        <w:rPr>
          <w:rFonts w:ascii="Cambria" w:hAnsi="Cambria" w:cs="Arial"/>
          <w:color w:val="1D1B11"/>
        </w:rPr>
      </w:pPr>
      <w:r>
        <w:rPr>
          <w:rFonts w:ascii="Cambria" w:hAnsi="Cambria" w:cs="Arial"/>
          <w:color w:val="1D1B11"/>
        </w:rPr>
        <w:tab/>
        <w:t>Durch die alkalische Zinkpulver-Suspension wird die Münze mit einer Zinkschicht überzogen. Diese reagiert zus</w:t>
      </w:r>
      <w:r>
        <w:rPr>
          <w:rFonts w:ascii="Cambria" w:hAnsi="Cambria" w:cs="Arial"/>
          <w:color w:val="1D1B11"/>
        </w:rPr>
        <w:t xml:space="preserve">ammen mit der Kupferschicht durch Energiezufuhr der Brennerflamme zu der Legierung Messing.  </w:t>
      </w:r>
    </w:p>
    <w:p w:rsidR="00155BE2" w:rsidRDefault="001A758C">
      <w:pPr>
        <w:spacing w:after="200" w:line="360" w:lineRule="auto"/>
        <w:ind w:left="2124" w:hanging="2124"/>
      </w:pPr>
      <m:oMathPara>
        <m:oMathParaPr>
          <m:jc m:val="left"/>
        </m:oMathParaPr>
        <m:oMath>
          <m:sSub>
            <m:sSubPr>
              <m:ctrlPr>
                <w:rPr>
                  <w:rFonts w:ascii="Cambria Math" w:hAnsi="Cambria Math"/>
                </w:rPr>
              </m:ctrlPr>
            </m:sSubPr>
            <m:e>
              <m:r>
                <m:rPr>
                  <m:sty m:val="p"/>
                </m:rPr>
                <w:rPr>
                  <w:rFonts w:ascii="Cambria Math" w:hAnsi="Cambria Math"/>
                </w:rPr>
                <m:t>Cu</m:t>
              </m:r>
            </m:e>
            <m:sub>
              <m:d>
                <m:dPr>
                  <m:ctrlPr>
                    <w:rPr>
                      <w:rFonts w:ascii="Cambria Math" w:hAnsi="Cambria Math"/>
                    </w:rPr>
                  </m:ctrlPr>
                </m:dPr>
                <m:e>
                  <m:r>
                    <m:rPr>
                      <m:sty m:val="p"/>
                    </m:rPr>
                    <w:rPr>
                      <w:rFonts w:ascii="Cambria Math" w:hAnsi="Cambria Math"/>
                    </w:rPr>
                    <m:t>s</m:t>
                  </m:r>
                </m:e>
              </m:d>
            </m:sub>
          </m:sSub>
          <m:r>
            <w:rPr>
              <w:rFonts w:ascii="Cambria Math" w:hAnsi="Cambria Math"/>
            </w:rPr>
            <m:t>+</m:t>
          </m:r>
          <m:sSub>
            <m:sSubPr>
              <m:ctrlPr>
                <w:rPr>
                  <w:rFonts w:ascii="Cambria Math" w:hAnsi="Cambria Math"/>
                </w:rPr>
              </m:ctrlPr>
            </m:sSubPr>
            <m:e>
              <m:r>
                <m:rPr>
                  <m:sty m:val="p"/>
                </m:rPr>
                <w:rPr>
                  <w:rFonts w:ascii="Cambria Math" w:hAnsi="Cambria Math"/>
                </w:rPr>
                <m:t>Zn</m:t>
              </m:r>
            </m:e>
            <m:sub>
              <m:d>
                <m:dPr>
                  <m:ctrlPr>
                    <w:rPr>
                      <w:rFonts w:ascii="Cambria Math" w:hAnsi="Cambria Math"/>
                    </w:rPr>
                  </m:ctrlPr>
                </m:dPr>
                <m:e>
                  <m:r>
                    <m:rPr>
                      <m:sty m:val="p"/>
                    </m:rPr>
                    <w:rPr>
                      <w:rFonts w:ascii="Cambria Math" w:hAnsi="Cambria Math"/>
                    </w:rPr>
                    <m:t>s</m:t>
                  </m:r>
                </m:e>
              </m:d>
            </m:sub>
          </m:sSub>
          <m:r>
            <w:rPr>
              <w:rFonts w:ascii="Cambria Math" w:hAnsi="Cambria Math"/>
            </w:rPr>
            <m:t>→</m:t>
          </m:r>
          <m:r>
            <m:rPr>
              <m:sty m:val="p"/>
            </m:rPr>
            <w:rPr>
              <w:rFonts w:ascii="Cambria Math" w:hAnsi="Cambria Math"/>
            </w:rPr>
            <m:t>ZnC</m:t>
          </m:r>
          <m:sSub>
            <m:sSubPr>
              <m:ctrlPr>
                <w:rPr>
                  <w:rFonts w:ascii="Cambria Math" w:hAnsi="Cambria Math"/>
                </w:rPr>
              </m:ctrlPr>
            </m:sSubPr>
            <m:e>
              <m:r>
                <m:rPr>
                  <m:sty m:val="p"/>
                </m:rPr>
                <w:rPr>
                  <w:rFonts w:ascii="Cambria Math" w:hAnsi="Cambria Math"/>
                </w:rPr>
                <m:t>u</m:t>
              </m:r>
            </m:e>
            <m:sub>
              <m:d>
                <m:dPr>
                  <m:ctrlPr>
                    <w:rPr>
                      <w:rFonts w:ascii="Cambria Math" w:hAnsi="Cambria Math"/>
                    </w:rPr>
                  </m:ctrlPr>
                </m:dPr>
                <m:e>
                  <m:r>
                    <m:rPr>
                      <m:sty m:val="p"/>
                    </m:rPr>
                    <w:rPr>
                      <w:rFonts w:ascii="Cambria Math" w:hAnsi="Cambria Math"/>
                    </w:rPr>
                    <m:t>s</m:t>
                  </m:r>
                </m:e>
              </m:d>
            </m:sub>
          </m:sSub>
        </m:oMath>
      </m:oMathPara>
    </w:p>
    <w:p w:rsidR="00155BE2" w:rsidRDefault="001A758C">
      <w:pPr>
        <w:spacing w:after="200" w:line="360" w:lineRule="auto"/>
        <w:ind w:left="2124" w:hanging="2124"/>
        <w:rPr>
          <w:rFonts w:ascii="Cambria" w:hAnsi="Cambria" w:cs="Arial"/>
          <w:color w:val="1D1B11"/>
        </w:rPr>
      </w:pPr>
      <w:r>
        <w:rPr>
          <w:rFonts w:ascii="Cambria" w:hAnsi="Cambria" w:cs="Arial"/>
          <w:color w:val="1D1B11"/>
        </w:rPr>
        <w:t>Entsorgung:</w:t>
      </w:r>
      <w:r>
        <w:rPr>
          <w:rFonts w:ascii="Cambria" w:hAnsi="Cambria" w:cs="Arial"/>
          <w:color w:val="1D1B11"/>
        </w:rPr>
        <w:tab/>
        <w:t>Die alkalische Zinkpulver-Suspension abkühlen lassen, das Zink-Pulver abfiltrieren (kann nach Trocknung wiederverwendet werden). Die Natronlauge wird</w:t>
      </w:r>
      <w:r>
        <w:rPr>
          <w:rFonts w:ascii="Cambria" w:hAnsi="Cambria" w:cs="Arial"/>
          <w:color w:val="1D1B11"/>
        </w:rPr>
        <w:t xml:space="preserve"> mit verdünnter Säure neutralisieren und mit viel Wasser im Abfluss entsorgt.  </w:t>
      </w:r>
    </w:p>
    <w:p w:rsidR="00155BE2" w:rsidRDefault="001A758C">
      <w:pPr>
        <w:spacing w:after="200" w:line="276" w:lineRule="auto"/>
      </w:pPr>
      <w:r>
        <w:rPr>
          <w:rFonts w:ascii="Cambria" w:hAnsi="Cambria" w:cs="Arial"/>
          <w:color w:val="1D1B11"/>
        </w:rPr>
        <w:t xml:space="preserve">Literatur        </w:t>
      </w:r>
    </w:p>
    <w:p w:rsidR="00155BE2" w:rsidRDefault="001A758C">
      <w:pPr>
        <w:spacing w:after="200" w:line="360" w:lineRule="auto"/>
        <w:jc w:val="both"/>
        <w:rPr>
          <w:rFonts w:ascii="Cambria" w:hAnsi="Cambria" w:cs="Arial"/>
          <w:color w:val="1D1B11"/>
        </w:rPr>
      </w:pPr>
      <w:r>
        <w:rPr>
          <w:rFonts w:ascii="Cambria" w:hAnsi="Cambria" w:cs="Arial"/>
          <w:color w:val="1D1B11"/>
        </w:rPr>
        <w:t>Fachportal Chemie Baden-Württemberg, https://lehrerfortbildung-bw.de/faecher/chemie/bs/6bg/fb2/download/html/vergolden_einer_muenze_versuchsanleitung.pdf , 30</w:t>
      </w:r>
      <w:r>
        <w:rPr>
          <w:rFonts w:ascii="Cambria" w:hAnsi="Cambria" w:cs="Arial"/>
          <w:color w:val="1D1B11"/>
        </w:rPr>
        <w:t>.07.2016 (Zuletzt abgerufen am 30.07.2016 um 18:53Uhr).</w:t>
      </w:r>
    </w:p>
    <w:p w:rsidR="00155BE2" w:rsidRDefault="001A758C">
      <w:pPr>
        <w:spacing w:after="200" w:line="360" w:lineRule="auto"/>
        <w:jc w:val="both"/>
      </w:pPr>
      <w:r>
        <w:rPr>
          <w:noProof/>
          <w:lang w:eastAsia="de-DE"/>
        </w:rPr>
        <w:lastRenderedPageBreak/>
        <mc:AlternateContent>
          <mc:Choice Requires="wps">
            <w:drawing>
              <wp:inline distT="0" distB="0" distL="0" distR="0">
                <wp:extent cx="5760720" cy="1085850"/>
                <wp:effectExtent l="0" t="0" r="11430" b="19050"/>
                <wp:docPr id="12" name="Text Box 131"/>
                <wp:cNvGraphicFramePr/>
                <a:graphic xmlns:a="http://schemas.openxmlformats.org/drawingml/2006/main">
                  <a:graphicData uri="http://schemas.microsoft.com/office/word/2010/wordprocessingShape">
                    <wps:wsp>
                      <wps:cNvSpPr txBox="1"/>
                      <wps:spPr>
                        <a:xfrm>
                          <a:off x="0" y="0"/>
                          <a:ext cx="5760720" cy="1085850"/>
                        </a:xfrm>
                        <a:prstGeom prst="rect">
                          <a:avLst/>
                        </a:prstGeom>
                        <a:solidFill>
                          <a:srgbClr val="FFFFFF"/>
                        </a:solidFill>
                        <a:ln w="12701">
                          <a:solidFill>
                            <a:srgbClr val="ED7D31"/>
                          </a:solidFill>
                          <a:prstDash val="dash"/>
                        </a:ln>
                      </wps:spPr>
                      <wps:txbx>
                        <w:txbxContent>
                          <w:p w:rsidR="00155BE2" w:rsidRDefault="001A758C">
                            <w:pPr>
                              <w:spacing w:line="360" w:lineRule="auto"/>
                              <w:jc w:val="both"/>
                              <w:rPr>
                                <w:rFonts w:ascii="Cambria" w:hAnsi="Cambria"/>
                              </w:rPr>
                            </w:pPr>
                            <w:r>
                              <w:rPr>
                                <w:rFonts w:ascii="Cambria" w:hAnsi="Cambria"/>
                              </w:rPr>
                              <w:t>Beim Aufkochen der Suspension besteht die Gefahr von Siedeverzügen, was schwere Verätzungen durch die heiße Natronlauge zur Folge haben kann. Als Alternative bietet sich die Verwendung einer Zinkch</w:t>
                            </w:r>
                            <w:r>
                              <w:rPr>
                                <w:rFonts w:ascii="Cambria" w:hAnsi="Cambria"/>
                              </w:rPr>
                              <w:t xml:space="preserve">loridlösung an, bei der die Gefahr von Siedeverzügen deutlich geringer ist. </w:t>
                            </w:r>
                          </w:p>
                        </w:txbxContent>
                      </wps:txbx>
                      <wps:bodyPr vert="horz" wrap="square" lIns="91440" tIns="45720" rIns="91440" bIns="45720" anchor="t" anchorCtr="0" compatLnSpc="0">
                        <a:noAutofit/>
                      </wps:bodyPr>
                    </wps:wsp>
                  </a:graphicData>
                </a:graphic>
              </wp:inline>
            </w:drawing>
          </mc:Choice>
          <mc:Fallback>
            <w:pict>
              <v:shape id="Text Box 131" o:spid="_x0000_s1027" type="#_x0000_t202" style="width:453.6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cQPAQIAAAMEAAAOAAAAZHJzL2Uyb0RvYy54bWysU8GO2jAQvVfqP1i+lyQUFooIq3ZTqkqr&#10;thLbD3Acm1hybNdjSOjXd+wAy25vVTkY22/y5s2b8fp+6DQ5Cg/KmpIWk5wSYbhtlNmX9OfT9t2S&#10;EgjMNExbI0p6EkDvN2/frHu3ElPbWt0IT5DEwKp3JW1DcKssA96KjsHEOmEQlNZ3LODR77PGsx7Z&#10;O51N8/wu661vnLdcAOBtNYJ0k/ilFDx8lxJEILqkqC2k1ae1jmu2WbPV3jPXKn6Wwf5BRceUwaRX&#10;qooFRg5e/UXVKe4tWBkm3HaZlVJxkWrAaor8VTW7ljmRakFzwF1tgv9Hy78df3iiGuzdlBLDOuzR&#10;kxgC+WQHUrwvokG9gxXG7RxGhgEBDL7cA17Gugfpu/iPFRHE0erT1d5Ix/FyvrjLF1OEOGJFvpwv&#10;56kB2fPnzkP4ImxH4qakHvuXbGXHRwgoBUMvITEbWK2ardI6Hfy+ftCeHBn2ept+USV+8iJMG9LH&#10;ahd5kahfgHDL8blaVKMDrzmihopBO+ZqcHfOpA0mjH6NvsRdGOphNPjiWW2bE1qJrwZLbK3/TUmP&#10;E1hS+HVgXlCivxps8YdiNosjmw6zeXLO3yL1LcIMR6qSBkrG7UMYxxznzLHwaHaOx45Ep4z9eAhW&#10;quRo1DgqOkvHSUuunV9FHOXbc4p6frubPwAAAP//AwBQSwMEFAAGAAgAAAAhAOQxNhTaAAAABQEA&#10;AA8AAABkcnMvZG93bnJldi54bWxMj0FLxDAQhe+C/yGMsDc3aQ+u1qaLCiILXtxV2GPaTNNiMylN&#10;dlv/vaMXvTwY3uO9b8rt4gdxxin2gTRkawUCqQm2J6fh/fB8fQsiJkPWDIFQwxdG2FaXF6UpbJjp&#10;Dc/75ASXUCyMhi6lsZAyNh16E9dhRGKvDZM3ic/JSTuZmcv9IHOlbqQ3PfFCZ0Z86rD53J+8hvqj&#10;zdpH5153dPTqKF9cnR9mrVdXy8M9iIRL+gvDDz6jQ8VMdTiRjWLQwI+kX2XvTm1yEDWHNpkCWZXy&#10;P331DQAA//8DAFBLAQItABQABgAIAAAAIQC2gziS/gAAAOEBAAATAAAAAAAAAAAAAAAAAAAAAABb&#10;Q29udGVudF9UeXBlc10ueG1sUEsBAi0AFAAGAAgAAAAhADj9If/WAAAAlAEAAAsAAAAAAAAAAAAA&#10;AAAALwEAAF9yZWxzLy5yZWxzUEsBAi0AFAAGAAgAAAAhAOz1xA8BAgAAAwQAAA4AAAAAAAAAAAAA&#10;AAAALgIAAGRycy9lMm9Eb2MueG1sUEsBAi0AFAAGAAgAAAAhAOQxNhTaAAAABQEAAA8AAAAAAAAA&#10;AAAAAAAAWwQAAGRycy9kb3ducmV2LnhtbFBLBQYAAAAABAAEAPMAAABiBQAAAAA=&#10;" strokecolor="#ed7d31" strokeweight=".35281mm">
                <v:stroke dashstyle="dash"/>
                <v:textbox>
                  <w:txbxContent>
                    <w:p w:rsidR="00155BE2" w:rsidRDefault="001A758C">
                      <w:pPr>
                        <w:spacing w:line="360" w:lineRule="auto"/>
                        <w:jc w:val="both"/>
                        <w:rPr>
                          <w:rFonts w:ascii="Cambria" w:hAnsi="Cambria"/>
                        </w:rPr>
                      </w:pPr>
                      <w:r>
                        <w:rPr>
                          <w:rFonts w:ascii="Cambria" w:hAnsi="Cambria"/>
                        </w:rPr>
                        <w:t>Beim Aufkochen der Suspension besteht die Gefahr von Siedeverzügen, was schwere Verätzungen durch die heiße Natronlauge zur Folge haben kann. Als Alternative bietet sich die Verwendung einer Zinkch</w:t>
                      </w:r>
                      <w:r>
                        <w:rPr>
                          <w:rFonts w:ascii="Cambria" w:hAnsi="Cambria"/>
                        </w:rPr>
                        <w:t xml:space="preserve">loridlösung an, bei der die Gefahr von Siedeverzügen deutlich geringer ist. </w:t>
                      </w:r>
                    </w:p>
                  </w:txbxContent>
                </v:textbox>
                <w10:anchorlock/>
              </v:shape>
            </w:pict>
          </mc:Fallback>
        </mc:AlternateContent>
      </w:r>
    </w:p>
    <w:p w:rsidR="00155BE2" w:rsidRDefault="00155BE2"/>
    <w:sectPr w:rsidR="00155BE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58C" w:rsidRDefault="001A758C">
      <w:pPr>
        <w:spacing w:after="0" w:line="240" w:lineRule="auto"/>
      </w:pPr>
      <w:r>
        <w:separator/>
      </w:r>
    </w:p>
  </w:endnote>
  <w:endnote w:type="continuationSeparator" w:id="0">
    <w:p w:rsidR="001A758C" w:rsidRDefault="001A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58C" w:rsidRDefault="001A758C">
      <w:pPr>
        <w:spacing w:after="0" w:line="240" w:lineRule="auto"/>
      </w:pPr>
      <w:r>
        <w:rPr>
          <w:color w:val="000000"/>
        </w:rPr>
        <w:separator/>
      </w:r>
    </w:p>
  </w:footnote>
  <w:footnote w:type="continuationSeparator" w:id="0">
    <w:p w:rsidR="001A758C" w:rsidRDefault="001A75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155BE2"/>
    <w:rsid w:val="00155BE2"/>
    <w:rsid w:val="001A758C"/>
    <w:rsid w:val="00C534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5605BD-8F24-4BD2-BD93-A3B224A9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2619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dc:description/>
  <cp:lastModifiedBy>Caro</cp:lastModifiedBy>
  <cp:revision>2</cp:revision>
  <dcterms:created xsi:type="dcterms:W3CDTF">2016-08-12T11:15:00Z</dcterms:created>
  <dcterms:modified xsi:type="dcterms:W3CDTF">2016-08-12T11:15:00Z</dcterms:modified>
</cp:coreProperties>
</file>