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87" w:rsidRPr="00CC307A" w:rsidRDefault="00C50687" w:rsidP="00C50687">
      <w:pPr>
        <w:pStyle w:val="berschrift2"/>
        <w:rPr>
          <w:color w:val="auto"/>
        </w:rPr>
      </w:pPr>
      <w:bookmarkStart w:id="0" w:name="_GoBack"/>
      <w:bookmarkEnd w:id="0"/>
      <w:r>
        <w:rPr>
          <w:color w:val="auto"/>
        </w:rPr>
        <w:t>Herstellung von Silber-Nanopartikeln</w:t>
      </w:r>
    </w:p>
    <w:bookmarkStart w:id="1" w:name="_Toc425776595"/>
    <w:bookmarkStart w:id="2" w:name="_Toc456688591"/>
    <w:bookmarkStart w:id="3" w:name="_Toc456688607"/>
    <w:bookmarkStart w:id="4" w:name="_Toc457507144"/>
    <w:bookmarkStart w:id="5" w:name="_Toc457745762"/>
    <w:p w:rsidR="00C50687" w:rsidRDefault="00C50687" w:rsidP="00C50687">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0FAB9422" wp14:editId="445EA2DC">
                <wp:simplePos x="0" y="0"/>
                <wp:positionH relativeFrom="column">
                  <wp:posOffset>-635</wp:posOffset>
                </wp:positionH>
                <wp:positionV relativeFrom="paragraph">
                  <wp:posOffset>26670</wp:posOffset>
                </wp:positionV>
                <wp:extent cx="5873115" cy="796925"/>
                <wp:effectExtent l="13335" t="11430" r="9525" b="1079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0687" w:rsidRPr="00F31EBF" w:rsidRDefault="00C50687" w:rsidP="00C50687">
                            <w:pPr>
                              <w:rPr>
                                <w:color w:val="auto"/>
                              </w:rPr>
                            </w:pPr>
                            <w:r>
                              <w:rPr>
                                <w:color w:val="auto"/>
                              </w:rPr>
                              <w:t xml:space="preserve">In diesem Versuch werden mithilfe von Wechselspannung Silber-Nanopartikel synthetisiert. Diese können dann mithilfe eines </w:t>
                            </w:r>
                            <w:proofErr w:type="spellStart"/>
                            <w:r>
                              <w:rPr>
                                <w:color w:val="auto"/>
                              </w:rPr>
                              <w:t>Laserpointers</w:t>
                            </w:r>
                            <w:proofErr w:type="spellEnd"/>
                            <w:r>
                              <w:rPr>
                                <w:color w:val="auto"/>
                              </w:rPr>
                              <w:t xml:space="preserve"> (Tyndall-Effekt) nachgewiesen werden. Für die Synthese der Silber-Nanopartikel müssen die SuS bereits mit der Elektrolyse vertraut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B9422" id="_x0000_t202" coordsize="21600,21600" o:spt="202" path="m,l,21600r21600,l21600,xe">
                <v:stroke joinstyle="miter"/>
                <v:path gradientshapeok="t" o:connecttype="rect"/>
              </v:shapetype>
              <v:shape id="Text Box 60"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HX7gIAACo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CIUkdfuAgAAKg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C50687" w:rsidRPr="00F31EBF" w:rsidRDefault="00C50687" w:rsidP="00C50687">
                      <w:pPr>
                        <w:rPr>
                          <w:color w:val="auto"/>
                        </w:rPr>
                      </w:pPr>
                      <w:r>
                        <w:rPr>
                          <w:color w:val="auto"/>
                        </w:rPr>
                        <w:t xml:space="preserve">In diesem Versuch werden mithilfe von Wechselspannung Silber-Nanopartikel synthetisiert. Diese können dann mithilfe eines </w:t>
                      </w:r>
                      <w:proofErr w:type="spellStart"/>
                      <w:r>
                        <w:rPr>
                          <w:color w:val="auto"/>
                        </w:rPr>
                        <w:t>Laserpointers</w:t>
                      </w:r>
                      <w:proofErr w:type="spellEnd"/>
                      <w:r>
                        <w:rPr>
                          <w:color w:val="auto"/>
                        </w:rPr>
                        <w:t xml:space="preserve"> (Tyndall-Effekt) nachgewiesen werden. Für die Synthese der Silber-Nanopartikel müssen die SuS bereits mit der Elektrolyse vertraut sein.</w:t>
                      </w:r>
                    </w:p>
                  </w:txbxContent>
                </v:textbox>
                <w10:wrap type="square"/>
              </v:shape>
            </w:pict>
          </mc:Fallback>
        </mc:AlternateContent>
      </w:r>
      <w:bookmarkEnd w:id="1"/>
      <w:bookmarkEnd w:id="2"/>
      <w:bookmarkEnd w:id="3"/>
      <w:bookmarkEnd w:id="4"/>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0687" w:rsidRPr="009C5E28" w:rsidTr="000D2245">
        <w:tc>
          <w:tcPr>
            <w:tcW w:w="9322" w:type="dxa"/>
            <w:gridSpan w:val="9"/>
            <w:shd w:val="clear" w:color="auto" w:fill="4F81BD"/>
            <w:vAlign w:val="center"/>
          </w:tcPr>
          <w:p w:rsidR="00C50687" w:rsidRPr="00F31EBF" w:rsidRDefault="00C50687" w:rsidP="000D2245">
            <w:pPr>
              <w:spacing w:after="0"/>
              <w:jc w:val="center"/>
              <w:rPr>
                <w:b/>
                <w:bCs/>
                <w:color w:val="FFFFFF" w:themeColor="background1"/>
              </w:rPr>
            </w:pPr>
            <w:r w:rsidRPr="00F31EBF">
              <w:rPr>
                <w:b/>
                <w:bCs/>
                <w:color w:val="FFFFFF" w:themeColor="background1"/>
              </w:rPr>
              <w:t>Gefahrenstoffe</w:t>
            </w:r>
          </w:p>
        </w:tc>
      </w:tr>
      <w:tr w:rsidR="00C50687"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0687" w:rsidRPr="009C5E28" w:rsidRDefault="00C50687" w:rsidP="000D2245">
            <w:pPr>
              <w:spacing w:after="0" w:line="276" w:lineRule="auto"/>
              <w:jc w:val="center"/>
              <w:rPr>
                <w:b/>
                <w:bCs/>
              </w:rPr>
            </w:pPr>
            <w:r>
              <w:rPr>
                <w:sz w:val="20"/>
              </w:rPr>
              <w:t>Silber</w:t>
            </w:r>
          </w:p>
        </w:tc>
        <w:tc>
          <w:tcPr>
            <w:tcW w:w="3177" w:type="dxa"/>
            <w:gridSpan w:val="3"/>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0687" w:rsidRPr="009C5E28" w:rsidRDefault="00C50687" w:rsidP="000D2245">
            <w:pPr>
              <w:spacing w:after="0"/>
              <w:jc w:val="center"/>
            </w:pPr>
            <w:r w:rsidRPr="009C5E28">
              <w:rPr>
                <w:sz w:val="20"/>
              </w:rPr>
              <w:t xml:space="preserve">P: </w:t>
            </w:r>
            <w:r>
              <w:t>-</w:t>
            </w:r>
          </w:p>
        </w:tc>
      </w:tr>
      <w:tr w:rsidR="00C50687"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0687" w:rsidRDefault="00C50687" w:rsidP="000D2245">
            <w:pPr>
              <w:spacing w:after="0" w:line="276" w:lineRule="auto"/>
              <w:jc w:val="center"/>
              <w:rPr>
                <w:sz w:val="20"/>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rPr>
                <w:sz w:val="20"/>
              </w:rPr>
            </w:pPr>
            <w:r>
              <w:rPr>
                <w:sz w:val="20"/>
              </w:rPr>
              <w:t>H: 315 – 319 - 410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0687" w:rsidRPr="009C5E28" w:rsidRDefault="00C50687" w:rsidP="000D2245">
            <w:pPr>
              <w:spacing w:after="0"/>
              <w:jc w:val="center"/>
              <w:rPr>
                <w:sz w:val="20"/>
              </w:rPr>
            </w:pPr>
            <w:r>
              <w:rPr>
                <w:sz w:val="20"/>
              </w:rPr>
              <w:t>P: 273 – 302+352, 305+351+338</w:t>
            </w:r>
          </w:p>
        </w:tc>
      </w:tr>
      <w:tr w:rsidR="00C50687" w:rsidRPr="009C5E28" w:rsidTr="000D2245">
        <w:tc>
          <w:tcPr>
            <w:tcW w:w="1009" w:type="dxa"/>
            <w:tcBorders>
              <w:top w:val="single" w:sz="8" w:space="0" w:color="4F81BD"/>
              <w:left w:val="single" w:sz="8" w:space="0" w:color="4F81BD"/>
              <w:bottom w:val="single" w:sz="8" w:space="0" w:color="4F81BD"/>
            </w:tcBorders>
            <w:shd w:val="clear" w:color="auto" w:fill="auto"/>
            <w:vAlign w:val="center"/>
          </w:tcPr>
          <w:p w:rsidR="00C50687" w:rsidRPr="009C5E28" w:rsidRDefault="00C50687" w:rsidP="000D2245">
            <w:pPr>
              <w:spacing w:after="0"/>
              <w:jc w:val="center"/>
              <w:rPr>
                <w:b/>
                <w:bCs/>
              </w:rPr>
            </w:pPr>
            <w:r w:rsidRPr="00336881">
              <w:rPr>
                <w:rFonts w:asciiTheme="majorHAnsi" w:hAnsiTheme="majorHAnsi"/>
                <w:b/>
                <w:noProof/>
                <w:color w:val="auto"/>
                <w:lang w:eastAsia="de-DE"/>
              </w:rPr>
              <w:drawing>
                <wp:inline distT="0" distB="0" distL="0" distR="0" wp14:anchorId="7D9AA8D6" wp14:editId="314C0E8E">
                  <wp:extent cx="538061" cy="540000"/>
                  <wp:effectExtent l="0" t="0" r="0" b="0"/>
                  <wp:docPr id="6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4DD73E51" wp14:editId="557E965F">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745B9865" wp14:editId="78F24B6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0242CFA3" wp14:editId="58245C6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05F8EFFA" wp14:editId="3A1B022B">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392EF5E0" wp14:editId="599B6C7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3A9BEB44" wp14:editId="0A9D5CBC">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687" w:rsidRPr="009C5E28" w:rsidRDefault="00C50687" w:rsidP="000D2245">
            <w:pPr>
              <w:spacing w:after="0"/>
              <w:jc w:val="center"/>
            </w:pPr>
            <w:r>
              <w:rPr>
                <w:noProof/>
                <w:lang w:eastAsia="de-DE"/>
              </w:rPr>
              <w:drawing>
                <wp:inline distT="0" distB="0" distL="0" distR="0" wp14:anchorId="51FB4148" wp14:editId="2F044EB5">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0687" w:rsidRPr="009C5E28" w:rsidRDefault="00C50687" w:rsidP="000D2245">
            <w:pPr>
              <w:spacing w:after="0"/>
              <w:jc w:val="center"/>
            </w:pPr>
            <w:r w:rsidRPr="00943746">
              <w:rPr>
                <w:noProof/>
                <w:lang w:eastAsia="de-DE"/>
              </w:rPr>
              <w:drawing>
                <wp:inline distT="0" distB="0" distL="0" distR="0" wp14:anchorId="534C50A4" wp14:editId="31BE8A15">
                  <wp:extent cx="539115" cy="539115"/>
                  <wp:effectExtent l="0" t="0" r="0" b="0"/>
                  <wp:docPr id="38" name="Grafik 38"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thrin\Documents\Studium\SoSe16\SVP\Piktogramme\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39115" cy="539115"/>
                          </a:xfrm>
                          <a:prstGeom prst="rect">
                            <a:avLst/>
                          </a:prstGeom>
                          <a:noFill/>
                          <a:ln>
                            <a:noFill/>
                          </a:ln>
                        </pic:spPr>
                      </pic:pic>
                    </a:graphicData>
                  </a:graphic>
                </wp:inline>
              </w:drawing>
            </w:r>
          </w:p>
        </w:tc>
      </w:tr>
    </w:tbl>
    <w:p w:rsidR="00C50687" w:rsidRDefault="00C50687" w:rsidP="00C50687">
      <w:pPr>
        <w:tabs>
          <w:tab w:val="left" w:pos="1701"/>
          <w:tab w:val="left" w:pos="1985"/>
        </w:tabs>
        <w:ind w:left="1980" w:hanging="1980"/>
      </w:pPr>
    </w:p>
    <w:p w:rsidR="00C50687" w:rsidRDefault="00C50687" w:rsidP="00C50687">
      <w:pPr>
        <w:tabs>
          <w:tab w:val="left" w:pos="1701"/>
          <w:tab w:val="left" w:pos="1985"/>
        </w:tabs>
        <w:ind w:left="1980" w:hanging="1980"/>
      </w:pPr>
      <w:r>
        <w:t xml:space="preserve">Materialien: </w:t>
      </w:r>
      <w:r>
        <w:tab/>
      </w:r>
      <w:r>
        <w:tab/>
        <w:t xml:space="preserve">Kabel, Stromquelle mit 9 V (z.B. </w:t>
      </w:r>
      <w:proofErr w:type="spellStart"/>
      <w:r>
        <w:t>Traffo</w:t>
      </w:r>
      <w:proofErr w:type="spellEnd"/>
      <w:r>
        <w:t>), Silberelektrode, Voltmeter, Becherglas</w:t>
      </w:r>
    </w:p>
    <w:p w:rsidR="00C50687" w:rsidRPr="00ED07C2" w:rsidRDefault="00C50687" w:rsidP="00C50687">
      <w:pPr>
        <w:tabs>
          <w:tab w:val="left" w:pos="1701"/>
          <w:tab w:val="left" w:pos="1985"/>
        </w:tabs>
        <w:ind w:left="1980" w:hanging="1980"/>
      </w:pPr>
      <w:r>
        <w:t>Chemikalien:</w:t>
      </w:r>
      <w:r>
        <w:tab/>
      </w:r>
      <w:r>
        <w:tab/>
        <w:t xml:space="preserve">Silbernitratlösung (c =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w:t>
      </w:r>
    </w:p>
    <w:p w:rsidR="00C50687" w:rsidRDefault="00C50687" w:rsidP="00C50687">
      <w:pPr>
        <w:tabs>
          <w:tab w:val="left" w:pos="1701"/>
          <w:tab w:val="left" w:pos="1985"/>
        </w:tabs>
        <w:ind w:left="1980" w:hanging="1980"/>
      </w:pPr>
      <w:r>
        <w:t xml:space="preserve">Durchführung: </w:t>
      </w:r>
      <w:r>
        <w:tab/>
      </w:r>
      <w:r>
        <w:tab/>
        <w:t xml:space="preserve">Die Silberelektroden werden in das Becherglas mit der Silbernitratlösung gegeben. Anschließend wird eine Wechselspannung von 9 V für zwei Minuten angelegt. Nachdem der </w:t>
      </w:r>
      <w:proofErr w:type="spellStart"/>
      <w:r>
        <w:t>Traffo</w:t>
      </w:r>
      <w:proofErr w:type="spellEnd"/>
      <w:r>
        <w:t xml:space="preserve"> ausgeschaltet und die Silberelektroden auf der Lösung entfernt wurden, wird an einer abgedunkelten Stelle ein </w:t>
      </w:r>
      <w:proofErr w:type="spellStart"/>
      <w:r>
        <w:t>Laserpointer</w:t>
      </w:r>
      <w:proofErr w:type="spellEnd"/>
      <w:r>
        <w:t xml:space="preserve"> seitlich auf das Becherglas gerichtet. Ein weiteres Becherglas, welches lediglich mit der Silbernitratlösung gefüllt ist, sollte für den Vergleich bereitgehalten werden.</w:t>
      </w:r>
    </w:p>
    <w:p w:rsidR="00C50687" w:rsidRDefault="00C50687" w:rsidP="00C50687">
      <w:pPr>
        <w:tabs>
          <w:tab w:val="left" w:pos="1701"/>
          <w:tab w:val="left" w:pos="1985"/>
        </w:tabs>
        <w:ind w:left="1980" w:hanging="1980"/>
      </w:pPr>
      <w:r>
        <w:t>Beobachtung:</w:t>
      </w:r>
      <w:r>
        <w:tab/>
      </w:r>
      <w:r>
        <w:tab/>
      </w:r>
      <w:r>
        <w:tab/>
        <w:t xml:space="preserve">An den Elektroden lassen sich leichte dunkle Verfärbungen kennen. Ansonsten ist keine Veränderung erkennbar. Beim Einsatz des </w:t>
      </w:r>
      <w:proofErr w:type="spellStart"/>
      <w:r>
        <w:t>Laserpointes</w:t>
      </w:r>
      <w:proofErr w:type="spellEnd"/>
      <w:r>
        <w:t xml:space="preserve"> ist in dem Vergleichsbecherglas keine Besonderheit zu erkennen. Der Eingangspunkt und der Ausgangspunkt des Laserstrahls sind am Becherglasrand erkennbar. Bei der Silbernitratlösung, der zuvor Wechselspannung zugeführt wurde, ist der auch innerhalb der Lösung als durchgängiger Strich erkennbar.</w:t>
      </w:r>
    </w:p>
    <w:p w:rsidR="00C50687" w:rsidRDefault="00C50687" w:rsidP="00C50687">
      <w:pPr>
        <w:keepNext/>
        <w:tabs>
          <w:tab w:val="left" w:pos="1701"/>
          <w:tab w:val="left" w:pos="1985"/>
        </w:tabs>
        <w:ind w:left="1980" w:hanging="1980"/>
        <w:jc w:val="center"/>
      </w:pPr>
      <w:r>
        <w:rPr>
          <w:noProof/>
          <w:lang w:eastAsia="de-DE"/>
        </w:rPr>
        <w:lastRenderedPageBreak/>
        <w:drawing>
          <wp:inline distT="0" distB="0" distL="0" distR="0" wp14:anchorId="75C40DAF" wp14:editId="7D4DEC67">
            <wp:extent cx="3731895" cy="2150200"/>
            <wp:effectExtent l="0" t="0" r="190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60728_154136.jpg"/>
                    <pic:cNvPicPr/>
                  </pic:nvPicPr>
                  <pic:blipFill>
                    <a:blip r:embed="rId14" cstate="print">
                      <a:extLst>
                        <a:ext uri="{28A0092B-C50C-407E-A947-70E740481C1C}">
                          <a14:useLocalDpi xmlns:a14="http://schemas.microsoft.com/office/drawing/2010/main"/>
                        </a:ext>
                      </a:extLst>
                    </a:blip>
                    <a:stretch>
                      <a:fillRect/>
                    </a:stretch>
                  </pic:blipFill>
                  <pic:spPr>
                    <a:xfrm>
                      <a:off x="0" y="0"/>
                      <a:ext cx="3734078" cy="2151458"/>
                    </a:xfrm>
                    <a:prstGeom prst="rect">
                      <a:avLst/>
                    </a:prstGeom>
                  </pic:spPr>
                </pic:pic>
              </a:graphicData>
            </a:graphic>
          </wp:inline>
        </w:drawing>
      </w:r>
      <w:r>
        <w:t xml:space="preserve">   </w:t>
      </w:r>
      <w:r>
        <w:rPr>
          <w:noProof/>
          <w:lang w:eastAsia="de-DE"/>
        </w:rPr>
        <w:drawing>
          <wp:inline distT="0" distB="0" distL="0" distR="0" wp14:anchorId="3173391C" wp14:editId="2C62AD3B">
            <wp:extent cx="1577977" cy="2106232"/>
            <wp:effectExtent l="0" t="0" r="3175"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60728_154426.jpg"/>
                    <pic:cNvPicPr/>
                  </pic:nvPicPr>
                  <pic:blipFill>
                    <a:blip r:embed="rId15" cstate="print">
                      <a:extLst>
                        <a:ext uri="{28A0092B-C50C-407E-A947-70E740481C1C}">
                          <a14:useLocalDpi xmlns:a14="http://schemas.microsoft.com/office/drawing/2010/main"/>
                        </a:ext>
                      </a:extLst>
                    </a:blip>
                    <a:stretch>
                      <a:fillRect/>
                    </a:stretch>
                  </pic:blipFill>
                  <pic:spPr>
                    <a:xfrm>
                      <a:off x="0" y="0"/>
                      <a:ext cx="1585420" cy="2116167"/>
                    </a:xfrm>
                    <a:prstGeom prst="rect">
                      <a:avLst/>
                    </a:prstGeom>
                  </pic:spPr>
                </pic:pic>
              </a:graphicData>
            </a:graphic>
          </wp:inline>
        </w:drawing>
      </w:r>
      <w:r>
        <w:rPr>
          <w:noProof/>
          <w:lang w:eastAsia="de-DE"/>
        </w:rPr>
        <w:drawing>
          <wp:inline distT="0" distB="0" distL="0" distR="0" wp14:anchorId="609C83E7" wp14:editId="6F7D1C17">
            <wp:extent cx="1689735" cy="2167673"/>
            <wp:effectExtent l="0" t="0" r="5715"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60728_154448.jpg"/>
                    <pic:cNvPicPr/>
                  </pic:nvPicPr>
                  <pic:blipFill>
                    <a:blip r:embed="rId16" cstate="print">
                      <a:extLst>
                        <a:ext uri="{28A0092B-C50C-407E-A947-70E740481C1C}">
                          <a14:useLocalDpi xmlns:a14="http://schemas.microsoft.com/office/drawing/2010/main"/>
                        </a:ext>
                      </a:extLst>
                    </a:blip>
                    <a:stretch>
                      <a:fillRect/>
                    </a:stretch>
                  </pic:blipFill>
                  <pic:spPr>
                    <a:xfrm>
                      <a:off x="0" y="0"/>
                      <a:ext cx="1692599" cy="2171348"/>
                    </a:xfrm>
                    <a:prstGeom prst="rect">
                      <a:avLst/>
                    </a:prstGeom>
                  </pic:spPr>
                </pic:pic>
              </a:graphicData>
            </a:graphic>
          </wp:inline>
        </w:drawing>
      </w:r>
    </w:p>
    <w:p w:rsidR="00C50687" w:rsidRDefault="00C50687" w:rsidP="00C50687">
      <w:pPr>
        <w:pStyle w:val="Beschriftung"/>
        <w:jc w:val="center"/>
      </w:pPr>
      <w:r>
        <w:t xml:space="preserve">Abb. </w:t>
      </w:r>
      <w:fldSimple w:instr=" SEQ Abb. \* ARABIC ">
        <w:r w:rsidR="00435306">
          <w:rPr>
            <w:noProof/>
          </w:rPr>
          <w:t>1</w:t>
        </w:r>
      </w:fldSimple>
      <w:r>
        <w:t xml:space="preserve"> – </w:t>
      </w:r>
      <w:r>
        <w:rPr>
          <w:noProof/>
        </w:rPr>
        <w:t>Aufbau der Apparatur (links), Silbernitratlösung mit Silber-Nanopartikeln (rechts) und Silbernitratlösung ohne Nanopartikel (unten).</w:t>
      </w:r>
    </w:p>
    <w:p w:rsidR="00C50687" w:rsidRDefault="00C50687" w:rsidP="00C50687">
      <w:pPr>
        <w:tabs>
          <w:tab w:val="left" w:pos="1701"/>
          <w:tab w:val="left" w:pos="1985"/>
        </w:tabs>
        <w:ind w:left="2124" w:hanging="2124"/>
      </w:pPr>
      <w:r>
        <w:t>Deutung:</w:t>
      </w:r>
      <w:r>
        <w:tab/>
      </w:r>
      <w:r>
        <w:tab/>
      </w:r>
      <w:r>
        <w:tab/>
        <w:t xml:space="preserve">An der Kathode werden Silber-Ionen aus der Lösung reduziert und an der Elektrodenoberfläche abgeschieden, wobei ein poröser, nicht fest anhaftender Feststoff entsteht. Aufgrund der Umpolung wird die frühere Kathode zur Anode, an der Silber oxidiert wird und als Silber-Ionen in die Lösung übergeht. Die Teile des vorherigen Zyklus lösen sich von den Elektroden ab und gehen als ungeladene Partikel, die betitelten Silber-Nanopartikel, in Lösung. Beim Einsatz des </w:t>
      </w:r>
      <w:proofErr w:type="spellStart"/>
      <w:r>
        <w:t>Laserpointers</w:t>
      </w:r>
      <w:proofErr w:type="spellEnd"/>
      <w:r>
        <w:t xml:space="preserve"> weist die durch Silber-Partikel elektrolysierte Lösung den Tyndall-Effekt auf. Hierbei handelt es sich um die Streuung von Licht an mikroskopisch kleinen Teilchen, woraufhin der Strahl des </w:t>
      </w:r>
      <w:proofErr w:type="spellStart"/>
      <w:r>
        <w:t>Laserpointers</w:t>
      </w:r>
      <w:proofErr w:type="spellEnd"/>
      <w:r>
        <w:t xml:space="preserve"> auch innerhalb der Lösung sichtbar ist.</w:t>
      </w:r>
    </w:p>
    <w:p w:rsidR="00C50687" w:rsidRPr="005B2DC5" w:rsidRDefault="00C50687" w:rsidP="00C50687">
      <w:pPr>
        <w:tabs>
          <w:tab w:val="left" w:pos="1701"/>
          <w:tab w:val="left" w:pos="1985"/>
        </w:tabs>
        <w:ind w:left="2124" w:hanging="2124"/>
        <w:rPr>
          <w:rFonts w:eastAsiaTheme="minorEastAsia"/>
          <w:lang w:val="en-US"/>
        </w:rPr>
      </w:pPr>
      <w:r>
        <w:tab/>
      </w:r>
      <w:r>
        <w:tab/>
      </w:r>
      <w:r>
        <w:tab/>
      </w:r>
      <w:r w:rsidRPr="005B2DC5">
        <w:rPr>
          <w:lang w:val="en-US"/>
        </w:rPr>
        <w:t>Red:</w:t>
      </w:r>
      <m:oMath>
        <m:r>
          <w:rPr>
            <w:rFonts w:ascii="Cambria Math" w:hAnsi="Cambria Math"/>
            <w:lang w:val="en-US"/>
          </w:rPr>
          <m:t xml:space="preserve"> </m:t>
        </m:r>
        <m:sSup>
          <m:sSupPr>
            <m:ctrlPr>
              <w:rPr>
                <w:rFonts w:ascii="Cambria Math" w:hAnsi="Cambria Math"/>
                <w:i/>
              </w:rPr>
            </m:ctrlPr>
          </m:sSupPr>
          <m:e>
            <m:r>
              <w:rPr>
                <w:rFonts w:ascii="Cambria Math" w:hAnsi="Cambria Math"/>
              </w:rPr>
              <m:t>Ag</m:t>
            </m:r>
          </m:e>
          <m:sup>
            <m:r>
              <w:rPr>
                <w:rFonts w:ascii="Cambria Math" w:hAnsi="Cambria Math"/>
                <w:lang w:val="en-US"/>
              </w:rPr>
              <m:t>+</m:t>
            </m:r>
          </m:sup>
        </m:sSup>
        <m:d>
          <m:dPr>
            <m:ctrlPr>
              <w:rPr>
                <w:rFonts w:ascii="Cambria Math" w:hAnsi="Cambria Math"/>
                <w:i/>
              </w:rPr>
            </m:ctrlPr>
          </m:dPr>
          <m:e>
            <m:r>
              <w:rPr>
                <w:rFonts w:ascii="Cambria Math" w:hAnsi="Cambria Math"/>
              </w:rPr>
              <m:t>aq</m:t>
            </m:r>
          </m:e>
        </m:d>
        <m:r>
          <w:rPr>
            <w:rFonts w:ascii="Cambria Math" w:hAnsi="Cambria Math"/>
            <w:lang w:val="en-US"/>
          </w:rPr>
          <m:t>+</m:t>
        </m:r>
        <m:sSup>
          <m:sSupPr>
            <m:ctrlPr>
              <w:rPr>
                <w:rFonts w:ascii="Cambria Math" w:hAnsi="Cambria Math"/>
                <w:i/>
              </w:rPr>
            </m:ctrlPr>
          </m:sSupPr>
          <m:e>
            <m:r>
              <w:rPr>
                <w:rFonts w:ascii="Cambria Math" w:hAnsi="Cambria Math"/>
              </w:rPr>
              <m:t>e</m:t>
            </m:r>
          </m:e>
          <m:sup>
            <m:r>
              <w:rPr>
                <w:rFonts w:ascii="Cambria Math" w:hAnsi="Cambria Math"/>
                <w:lang w:val="en-US"/>
              </w:rPr>
              <m:t>-</m:t>
            </m:r>
          </m:sup>
        </m:sSup>
        <m:r>
          <w:rPr>
            <w:rFonts w:ascii="Cambria Math" w:hAnsi="Cambria Math"/>
            <w:lang w:val="en-US"/>
          </w:rPr>
          <m:t>→</m:t>
        </m:r>
        <m:r>
          <w:rPr>
            <w:rFonts w:ascii="Cambria Math" w:hAnsi="Cambria Math"/>
          </w:rPr>
          <m:t>Ag</m:t>
        </m:r>
        <m:r>
          <w:rPr>
            <w:rFonts w:ascii="Cambria Math" w:hAnsi="Cambria Math"/>
            <w:lang w:val="en-US"/>
          </w:rPr>
          <m:t>(</m:t>
        </m:r>
        <m:r>
          <w:rPr>
            <w:rFonts w:ascii="Cambria Math" w:hAnsi="Cambria Math"/>
          </w:rPr>
          <m:t>s</m:t>
        </m:r>
        <m:r>
          <w:rPr>
            <w:rFonts w:ascii="Cambria Math" w:hAnsi="Cambria Math"/>
            <w:lang w:val="en-US"/>
          </w:rPr>
          <m:t>)</m:t>
        </m:r>
      </m:oMath>
    </w:p>
    <w:p w:rsidR="00C50687" w:rsidRPr="005B2DC5" w:rsidRDefault="00C50687" w:rsidP="00C50687">
      <w:pPr>
        <w:tabs>
          <w:tab w:val="left" w:pos="1701"/>
          <w:tab w:val="left" w:pos="1985"/>
        </w:tabs>
        <w:ind w:left="2124" w:hanging="2124"/>
        <w:rPr>
          <w:lang w:val="en-US"/>
        </w:rPr>
      </w:pPr>
      <w:r w:rsidRPr="00741481">
        <w:rPr>
          <w:rFonts w:eastAsiaTheme="minorEastAsia"/>
          <w:lang w:val="en-US"/>
        </w:rPr>
        <w:tab/>
      </w:r>
      <w:r w:rsidRPr="00741481">
        <w:rPr>
          <w:rFonts w:eastAsiaTheme="minorEastAsia"/>
          <w:lang w:val="en-US"/>
        </w:rPr>
        <w:tab/>
      </w:r>
      <w:r w:rsidRPr="00741481">
        <w:rPr>
          <w:rFonts w:eastAsiaTheme="minorEastAsia"/>
          <w:lang w:val="en-US"/>
        </w:rPr>
        <w:tab/>
      </w:r>
      <w:r w:rsidRPr="005B2DC5">
        <w:rPr>
          <w:rFonts w:eastAsiaTheme="minorEastAsia"/>
          <w:lang w:val="en-US"/>
        </w:rPr>
        <w:t>Ox:</w:t>
      </w:r>
      <m:oMath>
        <m:r>
          <w:rPr>
            <w:rFonts w:ascii="Cambria Math" w:eastAsiaTheme="minorEastAsia" w:hAnsi="Cambria Math"/>
            <w:lang w:val="en-US"/>
          </w:rPr>
          <m:t xml:space="preserve"> </m:t>
        </m:r>
        <m:r>
          <w:rPr>
            <w:rFonts w:ascii="Cambria Math" w:eastAsiaTheme="minorEastAsia" w:hAnsi="Cambria Math"/>
          </w:rPr>
          <m:t>Ag</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Ag</m:t>
            </m:r>
          </m:e>
          <m:sup>
            <m:r>
              <w:rPr>
                <w:rFonts w:ascii="Cambria Math" w:eastAsiaTheme="minorEastAsia" w:hAnsi="Cambria Math"/>
                <w:lang w:val="en-US"/>
              </w:rPr>
              <m:t>+</m:t>
            </m:r>
          </m:sup>
        </m:s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lang w:val="en-US"/>
              </w:rPr>
              <m:t>-</m:t>
            </m:r>
          </m:sup>
        </m:sSup>
      </m:oMath>
    </w:p>
    <w:p w:rsidR="00C50687" w:rsidRDefault="00C50687" w:rsidP="00C50687">
      <w:pPr>
        <w:spacing w:line="276" w:lineRule="auto"/>
        <w:ind w:left="2124" w:hanging="2124"/>
        <w:jc w:val="left"/>
      </w:pPr>
      <w:r>
        <w:t>Entsorgung:</w:t>
      </w:r>
      <w:r>
        <w:tab/>
        <w:t xml:space="preserve">Die Entsorgung der Silbernitratlösung erfolgt in den Schwermetallabfall. Die Elektroden können weiterhin verwendet werden. </w:t>
      </w:r>
    </w:p>
    <w:p w:rsidR="00C50687" w:rsidRPr="00670A41" w:rsidRDefault="00C50687" w:rsidP="00C50687">
      <w:pPr>
        <w:spacing w:line="276" w:lineRule="auto"/>
        <w:ind w:left="2124" w:hanging="2124"/>
        <w:jc w:val="left"/>
        <w:rPr>
          <w:rFonts w:asciiTheme="majorHAnsi" w:hAnsiTheme="majorHAnsi"/>
          <w:color w:val="auto"/>
        </w:rPr>
      </w:pPr>
      <w:r>
        <w:lastRenderedPageBreak/>
        <w:t>Literatur:</w:t>
      </w:r>
      <w:r>
        <w:tab/>
      </w:r>
      <w:r>
        <w:rPr>
          <w:color w:val="auto"/>
        </w:rPr>
        <w:t xml:space="preserve">J. </w:t>
      </w:r>
      <w:proofErr w:type="spellStart"/>
      <w:r>
        <w:rPr>
          <w:color w:val="auto"/>
        </w:rPr>
        <w:t>Menthe</w:t>
      </w:r>
      <w:proofErr w:type="spellEnd"/>
      <w:r>
        <w:rPr>
          <w:color w:val="auto"/>
        </w:rPr>
        <w:t xml:space="preserve">, P. Düker, Nanosilber in der Waschmaschine – </w:t>
      </w:r>
      <w:proofErr w:type="spellStart"/>
      <w:r>
        <w:rPr>
          <w:color w:val="auto"/>
        </w:rPr>
        <w:t>einkontextorientierter</w:t>
      </w:r>
      <w:proofErr w:type="spellEnd"/>
      <w:r>
        <w:rPr>
          <w:color w:val="auto"/>
        </w:rPr>
        <w:t xml:space="preserve"> Zugang zu Elektrochemie und Naturwissenschaft, </w:t>
      </w:r>
      <w:r>
        <w:rPr>
          <w:i/>
          <w:color w:val="auto"/>
        </w:rPr>
        <w:t>Praxis der Naturwissenschaft</w:t>
      </w:r>
      <w:r>
        <w:rPr>
          <w:color w:val="auto"/>
        </w:rPr>
        <w:t xml:space="preserve">, (4) 64, 2015, S. 18 </w:t>
      </w:r>
      <w:proofErr w:type="gramStart"/>
      <w:r>
        <w:rPr>
          <w:color w:val="auto"/>
        </w:rPr>
        <w:t>ff..</w:t>
      </w:r>
      <w:proofErr w:type="gramEnd"/>
    </w:p>
    <w:p w:rsidR="00C50687" w:rsidRDefault="00C50687" w:rsidP="00C50687">
      <w:pPr>
        <w:tabs>
          <w:tab w:val="left" w:pos="1701"/>
          <w:tab w:val="left" w:pos="1985"/>
        </w:tabs>
        <w:ind w:left="1980" w:hanging="1980"/>
      </w:pPr>
    </w:p>
    <w:p w:rsidR="00C50687" w:rsidRDefault="00C50687" w:rsidP="00C50687">
      <w:pPr>
        <w:tabs>
          <w:tab w:val="left" w:pos="1701"/>
          <w:tab w:val="left" w:pos="1985"/>
        </w:tabs>
        <w:ind w:left="1980" w:hanging="1980"/>
      </w:pPr>
      <w:r>
        <w:rPr>
          <w:noProof/>
          <w:lang w:eastAsia="de-DE"/>
        </w:rPr>
        <mc:AlternateContent>
          <mc:Choice Requires="wps">
            <w:drawing>
              <wp:inline distT="0" distB="0" distL="0" distR="0" wp14:anchorId="2DABA321" wp14:editId="2C9DFDBC">
                <wp:extent cx="5873115" cy="8477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0687" w:rsidRPr="00F31EBF" w:rsidRDefault="00C50687" w:rsidP="00C50687">
                            <w:pPr>
                              <w:rPr>
                                <w:color w:val="auto"/>
                              </w:rPr>
                            </w:pPr>
                            <w:r w:rsidRPr="00F31EBF">
                              <w:rPr>
                                <w:b/>
                                <w:color w:val="auto"/>
                              </w:rPr>
                              <w:t xml:space="preserve">Unterrichtsanschlüsse </w:t>
                            </w:r>
                            <w:r>
                              <w:rPr>
                                <w:color w:val="auto"/>
                              </w:rPr>
                              <w:t xml:space="preserve">Die hergestellten Silber-Nanopartikel können in einem weiteren Experiment verwendet werden, um die </w:t>
                            </w:r>
                            <w:proofErr w:type="spellStart"/>
                            <w:r>
                              <w:rPr>
                                <w:color w:val="auto"/>
                              </w:rPr>
                              <w:t>biozide</w:t>
                            </w:r>
                            <w:proofErr w:type="spellEnd"/>
                            <w:r>
                              <w:rPr>
                                <w:color w:val="auto"/>
                              </w:rPr>
                              <w:t xml:space="preserve"> Wirkung der Partikel gegenüber Bakterien zu verdeutlichen. Dies ist also ein Anwendungsbereich für (Silber-)Nanopartikel.</w:t>
                            </w:r>
                          </w:p>
                        </w:txbxContent>
                      </wps:txbx>
                      <wps:bodyPr rot="0" vert="horz" wrap="square" lIns="91440" tIns="45720" rIns="91440" bIns="45720" anchor="t" anchorCtr="0" upright="1">
                        <a:noAutofit/>
                      </wps:bodyPr>
                    </wps:wsp>
                  </a:graphicData>
                </a:graphic>
              </wp:inline>
            </w:drawing>
          </mc:Choice>
          <mc:Fallback>
            <w:pict>
              <v:shape w14:anchorId="2DABA321" id="Text Box 131" o:spid="_x0000_s1027"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" fillcolor="white [3201]" strokecolor="#ed7d31 [3205]" strokeweight="1pt">
                <v:stroke dashstyle="dash"/>
                <v:shadow color="#868686"/>
                <v:textbox>
                  <w:txbxContent>
                    <w:p w:rsidR="00C50687" w:rsidRPr="00F31EBF" w:rsidRDefault="00C50687" w:rsidP="00C50687">
                      <w:pPr>
                        <w:rPr>
                          <w:color w:val="auto"/>
                        </w:rPr>
                      </w:pPr>
                      <w:r w:rsidRPr="00F31EBF">
                        <w:rPr>
                          <w:b/>
                          <w:color w:val="auto"/>
                        </w:rPr>
                        <w:t xml:space="preserve">Unterrichtsanschlüsse </w:t>
                      </w:r>
                      <w:r>
                        <w:rPr>
                          <w:color w:val="auto"/>
                        </w:rPr>
                        <w:t xml:space="preserve">Die hergestellten Silber-Nanopartikel können in einem weiteren Experiment verwendet werden, um die </w:t>
                      </w:r>
                      <w:proofErr w:type="spellStart"/>
                      <w:r>
                        <w:rPr>
                          <w:color w:val="auto"/>
                        </w:rPr>
                        <w:t>biozide</w:t>
                      </w:r>
                      <w:proofErr w:type="spellEnd"/>
                      <w:r>
                        <w:rPr>
                          <w:color w:val="auto"/>
                        </w:rPr>
                        <w:t xml:space="preserve"> Wirkung der Partikel gegenüber Bakterien zu verdeutlichen. Dies ist also ein Anwendungsbereich für (Silber-)Nanopartikel.</w:t>
                      </w:r>
                    </w:p>
                  </w:txbxContent>
                </v:textbox>
                <w10:anchorlock/>
              </v:shape>
            </w:pict>
          </mc:Fallback>
        </mc:AlternateContent>
      </w:r>
    </w:p>
    <w:p w:rsidR="00C50687" w:rsidRDefault="00C50687" w:rsidP="00C50687">
      <w:pPr>
        <w:tabs>
          <w:tab w:val="left" w:pos="1701"/>
          <w:tab w:val="left" w:pos="1985"/>
        </w:tabs>
        <w:ind w:left="1980" w:hanging="1980"/>
      </w:pPr>
    </w:p>
    <w:p w:rsidR="00EB619B" w:rsidRDefault="00435306"/>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87"/>
    <w:rsid w:val="000C761C"/>
    <w:rsid w:val="00125E17"/>
    <w:rsid w:val="00176474"/>
    <w:rsid w:val="0034208B"/>
    <w:rsid w:val="003E3AD9"/>
    <w:rsid w:val="00435306"/>
    <w:rsid w:val="00641C7C"/>
    <w:rsid w:val="006B6773"/>
    <w:rsid w:val="006E23EA"/>
    <w:rsid w:val="007633FF"/>
    <w:rsid w:val="00855922"/>
    <w:rsid w:val="00990B4C"/>
    <w:rsid w:val="00A22302"/>
    <w:rsid w:val="00BF1E02"/>
    <w:rsid w:val="00C50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A68A-7C00-4591-8A70-DED9CCC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5068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5068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5068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5068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5068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5068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5068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5068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5068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5068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68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5068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5068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5068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5068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5068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5068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5068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5068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50687"/>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2</cp:revision>
  <cp:lastPrinted>2016-08-10T07:15:00Z</cp:lastPrinted>
  <dcterms:created xsi:type="dcterms:W3CDTF">2016-08-09T14:09:00Z</dcterms:created>
  <dcterms:modified xsi:type="dcterms:W3CDTF">2016-08-10T07:17:00Z</dcterms:modified>
</cp:coreProperties>
</file>