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E2C" w:rsidRPr="00F66E2C" w:rsidRDefault="00F66E2C" w:rsidP="00F66E2C">
      <w:pPr>
        <w:pStyle w:val="berschrift2"/>
        <w:numPr>
          <w:ilvl w:val="0"/>
          <w:numId w:val="0"/>
        </w:numPr>
        <w:ind w:left="576" w:hanging="576"/>
        <w:rPr>
          <w:rFonts w:ascii="Cambria" w:hAnsi="Cambria"/>
          <w:color w:val="auto"/>
        </w:rPr>
      </w:pPr>
      <w:r w:rsidRPr="00F66E2C">
        <w:rPr>
          <w:rFonts w:ascii="Cambria" w:hAnsi="Cambria"/>
          <w:noProof/>
          <w:lang w:eastAsia="de-DE"/>
        </w:rPr>
        <mc:AlternateContent>
          <mc:Choice Requires="wps">
            <w:drawing>
              <wp:anchor distT="0" distB="0" distL="114300" distR="114300" simplePos="0" relativeHeight="251659264" behindDoc="0" locked="0" layoutInCell="1" allowOverlap="1" wp14:anchorId="40F7EFC1" wp14:editId="02B59DE7">
                <wp:simplePos x="0" y="0"/>
                <wp:positionH relativeFrom="column">
                  <wp:posOffset>-4445</wp:posOffset>
                </wp:positionH>
                <wp:positionV relativeFrom="paragraph">
                  <wp:posOffset>406400</wp:posOffset>
                </wp:positionV>
                <wp:extent cx="5873115" cy="1789430"/>
                <wp:effectExtent l="0" t="0" r="0" b="1270"/>
                <wp:wrapSquare wrapText="bothSides"/>
                <wp:docPr id="49" name="Textfeld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78943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66E2C" w:rsidRPr="0013558A" w:rsidRDefault="00F66E2C" w:rsidP="00F66E2C">
                            <w:pPr>
                              <w:rPr>
                                <w:color w:val="auto"/>
                              </w:rPr>
                            </w:pPr>
                            <w:r>
                              <w:rPr>
                                <w:color w:val="auto"/>
                              </w:rPr>
                              <w:t xml:space="preserve">In dem Versuch soll den </w:t>
                            </w:r>
                            <w:proofErr w:type="spellStart"/>
                            <w:r>
                              <w:rPr>
                                <w:color w:val="auto"/>
                              </w:rPr>
                              <w:t>SuS</w:t>
                            </w:r>
                            <w:proofErr w:type="spellEnd"/>
                            <w:r>
                              <w:rPr>
                                <w:color w:val="auto"/>
                              </w:rPr>
                              <w:t xml:space="preserve"> verdeutlicht werden, welche Produkte bei einer Verbrennungsreaktion von Propan mit Sauerstoff entstehen. Es wird Kohlenstoffdioxid und Wasser nachgewiesen. Der Versuch eignet sich für die Einführung der Alkane, da ein Rückschluss auf die Bestandteile, Kohlenstoff und Wasserstoff, von Alkanen gezogen werden kann. Die </w:t>
                            </w:r>
                            <w:proofErr w:type="spellStart"/>
                            <w:r>
                              <w:rPr>
                                <w:color w:val="auto"/>
                              </w:rPr>
                              <w:t>SuS</w:t>
                            </w:r>
                            <w:proofErr w:type="spellEnd"/>
                            <w:r>
                              <w:rPr>
                                <w:color w:val="auto"/>
                              </w:rPr>
                              <w:t xml:space="preserve"> sollten sowohl die Nachweisreaktion von Kohlenstoffdioxid mit einer Calciumhydroxid-Lösung kennen, als auch die Nachweisreaktion von Wasser mit wasserfreien Kupfersulfat. Wegen des aufwendigen Aufbaus sollte der Versuch als Lehrerversuch durchgeführt werden.</w:t>
                            </w:r>
                          </w:p>
                          <w:p w:rsidR="00F66E2C" w:rsidRPr="00E910F4" w:rsidRDefault="00F66E2C" w:rsidP="00F66E2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F7EFC1" id="_x0000_t202" coordsize="21600,21600" o:spt="202" path="m,l,21600r21600,l21600,xe">
                <v:stroke joinstyle="miter"/>
                <v:path gradientshapeok="t" o:connecttype="rect"/>
              </v:shapetype>
              <v:shape id="Textfeld 49" o:spid="_x0000_s1026" type="#_x0000_t202" style="position:absolute;left:0;text-align:left;margin-left:-.35pt;margin-top:32pt;width:462.45pt;height:14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" fillcolor="white [3201]" strokecolor="#4472c4 [3208]" strokeweight="1pt">
                <v:stroke dashstyle="dash"/>
                <v:shadow color="#868686"/>
                <v:textbox>
                  <w:txbxContent>
                    <w:p w:rsidR="00F66E2C" w:rsidRPr="0013558A" w:rsidRDefault="00F66E2C" w:rsidP="00F66E2C">
                      <w:pPr>
                        <w:rPr>
                          <w:color w:val="auto"/>
                        </w:rPr>
                      </w:pPr>
                      <w:r>
                        <w:rPr>
                          <w:color w:val="auto"/>
                        </w:rPr>
                        <w:t xml:space="preserve">In dem Versuch soll den </w:t>
                      </w:r>
                      <w:proofErr w:type="spellStart"/>
                      <w:r>
                        <w:rPr>
                          <w:color w:val="auto"/>
                        </w:rPr>
                        <w:t>SuS</w:t>
                      </w:r>
                      <w:proofErr w:type="spellEnd"/>
                      <w:r>
                        <w:rPr>
                          <w:color w:val="auto"/>
                        </w:rPr>
                        <w:t xml:space="preserve"> verdeutlicht werden, welche Produkte bei einer Verbrennungsreaktion von Propan mit Sauerstoff entstehen. Es wird Kohlenstoffdioxid und Wasser nachgewiesen. Der Versuch eignet sich für die Einführung der Alkane, da ein Rückschluss auf die Bestandteile, Kohlenstoff und Wasserstoff, von Alkanen gezogen werden kann. Die </w:t>
                      </w:r>
                      <w:proofErr w:type="spellStart"/>
                      <w:r>
                        <w:rPr>
                          <w:color w:val="auto"/>
                        </w:rPr>
                        <w:t>SuS</w:t>
                      </w:r>
                      <w:proofErr w:type="spellEnd"/>
                      <w:r>
                        <w:rPr>
                          <w:color w:val="auto"/>
                        </w:rPr>
                        <w:t xml:space="preserve"> sollten sowohl die Nachweisreaktion von Kohlenstoffdioxid mit einer Calciumhydroxid-Lösung kennen, als auch die Nachweisreaktion von Wasser mit wasserfreien Kupfersulfat. Wegen des aufwendigen Aufbaus sollte der Versuch als Lehrerversuch durchgeführt werden.</w:t>
                      </w:r>
                    </w:p>
                    <w:p w:rsidR="00F66E2C" w:rsidRPr="00E910F4" w:rsidRDefault="00F66E2C" w:rsidP="00F66E2C"/>
                  </w:txbxContent>
                </v:textbox>
                <w10:wrap type="square"/>
              </v:shape>
            </w:pict>
          </mc:Fallback>
        </mc:AlternateContent>
      </w:r>
      <w:bookmarkStart w:id="0" w:name="_Toc458062523"/>
      <w:bookmarkStart w:id="1" w:name="_GoBack"/>
      <w:bookmarkEnd w:id="1"/>
      <w:r w:rsidRPr="00F66E2C">
        <w:rPr>
          <w:rFonts w:ascii="Cambria" w:hAnsi="Cambria"/>
          <w:color w:val="auto"/>
        </w:rPr>
        <w:t>V2 – Verbrennungsprodukte von Alkanen</w:t>
      </w:r>
      <w:bookmarkEnd w:id="0"/>
    </w:p>
    <w:p w:rsidR="00F66E2C" w:rsidRPr="00A127D1" w:rsidRDefault="00F66E2C" w:rsidP="00F66E2C">
      <w:pPr>
        <w:pStyle w:val="berschrift2"/>
        <w:numPr>
          <w:ilvl w:val="0"/>
          <w:numId w:val="0"/>
        </w:numPr>
        <w:rPr>
          <w:sz w:val="16"/>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F66E2C" w:rsidRPr="009C5E28" w:rsidTr="00BC7BC9">
        <w:tc>
          <w:tcPr>
            <w:tcW w:w="9322" w:type="dxa"/>
            <w:gridSpan w:val="9"/>
            <w:shd w:val="clear" w:color="auto" w:fill="4F81BD"/>
            <w:vAlign w:val="center"/>
          </w:tcPr>
          <w:p w:rsidR="00F66E2C" w:rsidRPr="00F31EBF" w:rsidRDefault="00F66E2C" w:rsidP="00BC7BC9">
            <w:pPr>
              <w:spacing w:after="0"/>
              <w:jc w:val="center"/>
              <w:rPr>
                <w:b/>
                <w:bCs/>
                <w:color w:val="FFFFFF" w:themeColor="background1"/>
              </w:rPr>
            </w:pPr>
            <w:r w:rsidRPr="00F31EBF">
              <w:rPr>
                <w:b/>
                <w:bCs/>
                <w:color w:val="FFFFFF" w:themeColor="background1"/>
              </w:rPr>
              <w:t>Gefahrenstoffe</w:t>
            </w:r>
          </w:p>
        </w:tc>
      </w:tr>
      <w:tr w:rsidR="00F66E2C" w:rsidRPr="009C5E28" w:rsidTr="00BC7BC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66E2C" w:rsidRPr="00E910F4" w:rsidRDefault="00F66E2C" w:rsidP="00BC7BC9">
            <w:pPr>
              <w:spacing w:after="0" w:line="276" w:lineRule="auto"/>
              <w:jc w:val="center"/>
              <w:rPr>
                <w:sz w:val="20"/>
              </w:rPr>
            </w:pPr>
            <w:r>
              <w:rPr>
                <w:sz w:val="20"/>
              </w:rPr>
              <w:t>Propan</w:t>
            </w:r>
          </w:p>
        </w:tc>
        <w:tc>
          <w:tcPr>
            <w:tcW w:w="3177" w:type="dxa"/>
            <w:gridSpan w:val="3"/>
            <w:tcBorders>
              <w:top w:val="single" w:sz="8" w:space="0" w:color="4F81BD"/>
              <w:bottom w:val="single" w:sz="8" w:space="0" w:color="4F81BD"/>
            </w:tcBorders>
            <w:shd w:val="clear" w:color="auto" w:fill="auto"/>
            <w:vAlign w:val="center"/>
          </w:tcPr>
          <w:p w:rsidR="00F66E2C" w:rsidRPr="009C5E28" w:rsidRDefault="00F66E2C" w:rsidP="00BC7BC9">
            <w:pPr>
              <w:spacing w:after="0"/>
              <w:jc w:val="center"/>
            </w:pPr>
            <w:r w:rsidRPr="009C5E28">
              <w:rPr>
                <w:sz w:val="20"/>
              </w:rPr>
              <w:t xml:space="preserve">H: </w:t>
            </w:r>
            <w:r>
              <w:t>220-336</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66E2C" w:rsidRPr="009C5E28" w:rsidRDefault="00F66E2C" w:rsidP="00BC7BC9">
            <w:pPr>
              <w:spacing w:after="0"/>
              <w:jc w:val="center"/>
            </w:pPr>
            <w:r w:rsidRPr="009C5E28">
              <w:rPr>
                <w:sz w:val="20"/>
              </w:rPr>
              <w:t xml:space="preserve">P: </w:t>
            </w:r>
            <w:r>
              <w:t>210-403-304+340+315</w:t>
            </w:r>
          </w:p>
        </w:tc>
      </w:tr>
      <w:tr w:rsidR="00F66E2C" w:rsidRPr="009C5E28" w:rsidTr="00BC7BC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66E2C" w:rsidRDefault="00F66E2C" w:rsidP="00BC7BC9">
            <w:pPr>
              <w:spacing w:after="0" w:line="276" w:lineRule="auto"/>
              <w:jc w:val="center"/>
              <w:rPr>
                <w:sz w:val="20"/>
              </w:rPr>
            </w:pPr>
            <w:r>
              <w:rPr>
                <w:sz w:val="20"/>
              </w:rPr>
              <w:t>Kupfer(II)</w:t>
            </w:r>
            <w:proofErr w:type="spellStart"/>
            <w:r>
              <w:rPr>
                <w:sz w:val="20"/>
              </w:rPr>
              <w:t>sulfat</w:t>
            </w:r>
            <w:proofErr w:type="spellEnd"/>
            <w:r>
              <w:rPr>
                <w:sz w:val="20"/>
              </w:rPr>
              <w:t xml:space="preserve"> (wasserfrei)</w:t>
            </w:r>
          </w:p>
        </w:tc>
        <w:tc>
          <w:tcPr>
            <w:tcW w:w="3177" w:type="dxa"/>
            <w:gridSpan w:val="3"/>
            <w:tcBorders>
              <w:top w:val="single" w:sz="8" w:space="0" w:color="4F81BD"/>
              <w:bottom w:val="single" w:sz="8" w:space="0" w:color="4F81BD"/>
            </w:tcBorders>
            <w:shd w:val="clear" w:color="auto" w:fill="auto"/>
            <w:vAlign w:val="center"/>
          </w:tcPr>
          <w:p w:rsidR="00F66E2C" w:rsidRPr="009C5E28" w:rsidRDefault="00F66E2C" w:rsidP="00BC7BC9">
            <w:pPr>
              <w:spacing w:after="0"/>
              <w:jc w:val="center"/>
              <w:rPr>
                <w:sz w:val="20"/>
              </w:rPr>
            </w:pPr>
            <w:r>
              <w:rPr>
                <w:sz w:val="20"/>
              </w:rPr>
              <w:t>H: 302-315-319-410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66E2C" w:rsidRPr="009C5E28" w:rsidRDefault="00F66E2C" w:rsidP="00BC7BC9">
            <w:pPr>
              <w:spacing w:after="0"/>
              <w:jc w:val="center"/>
              <w:rPr>
                <w:sz w:val="20"/>
              </w:rPr>
            </w:pPr>
            <w:r>
              <w:rPr>
                <w:sz w:val="20"/>
              </w:rPr>
              <w:t>P: 273-305+351+338-302+352</w:t>
            </w:r>
          </w:p>
        </w:tc>
      </w:tr>
      <w:tr w:rsidR="00F66E2C" w:rsidRPr="009C5E28" w:rsidTr="00BC7BC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66E2C" w:rsidRDefault="00F66E2C" w:rsidP="00BC7BC9">
            <w:pPr>
              <w:spacing w:after="0" w:line="276" w:lineRule="auto"/>
              <w:jc w:val="center"/>
              <w:rPr>
                <w:sz w:val="20"/>
              </w:rPr>
            </w:pPr>
            <w:r>
              <w:rPr>
                <w:sz w:val="20"/>
              </w:rPr>
              <w:t>Kupfer(II)</w:t>
            </w:r>
            <w:proofErr w:type="spellStart"/>
            <w:r>
              <w:rPr>
                <w:sz w:val="20"/>
              </w:rPr>
              <w:t>sulfat</w:t>
            </w:r>
            <w:proofErr w:type="spellEnd"/>
            <w:r>
              <w:rPr>
                <w:sz w:val="20"/>
              </w:rPr>
              <w:t xml:space="preserve"> </w:t>
            </w:r>
            <w:proofErr w:type="spellStart"/>
            <w:r>
              <w:rPr>
                <w:sz w:val="20"/>
              </w:rPr>
              <w:t>Pentahydrat</w:t>
            </w:r>
            <w:proofErr w:type="spellEnd"/>
          </w:p>
        </w:tc>
        <w:tc>
          <w:tcPr>
            <w:tcW w:w="3177" w:type="dxa"/>
            <w:gridSpan w:val="3"/>
            <w:tcBorders>
              <w:top w:val="single" w:sz="8" w:space="0" w:color="4F81BD"/>
              <w:bottom w:val="single" w:sz="8" w:space="0" w:color="4F81BD"/>
            </w:tcBorders>
            <w:shd w:val="clear" w:color="auto" w:fill="auto"/>
            <w:vAlign w:val="center"/>
          </w:tcPr>
          <w:p w:rsidR="00F66E2C" w:rsidRPr="009C5E28" w:rsidRDefault="00F66E2C" w:rsidP="00BC7BC9">
            <w:pPr>
              <w:spacing w:after="0"/>
              <w:jc w:val="center"/>
              <w:rPr>
                <w:sz w:val="20"/>
              </w:rPr>
            </w:pPr>
            <w:r>
              <w:rPr>
                <w:sz w:val="20"/>
              </w:rPr>
              <w:t>H: 302-315-319-410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66E2C" w:rsidRPr="009C5E28" w:rsidRDefault="00F66E2C" w:rsidP="00BC7BC9">
            <w:pPr>
              <w:spacing w:after="0"/>
              <w:jc w:val="center"/>
              <w:rPr>
                <w:sz w:val="20"/>
              </w:rPr>
            </w:pPr>
            <w:r>
              <w:rPr>
                <w:sz w:val="20"/>
              </w:rPr>
              <w:t>P: 273-305+351+338-302+352</w:t>
            </w:r>
          </w:p>
        </w:tc>
      </w:tr>
      <w:tr w:rsidR="00F66E2C" w:rsidRPr="009C5E28" w:rsidTr="00BC7BC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66E2C" w:rsidRDefault="00F66E2C" w:rsidP="00BC7BC9">
            <w:pPr>
              <w:spacing w:after="0" w:line="276" w:lineRule="auto"/>
              <w:jc w:val="center"/>
              <w:rPr>
                <w:sz w:val="20"/>
              </w:rPr>
            </w:pPr>
            <w:r>
              <w:rPr>
                <w:sz w:val="20"/>
              </w:rPr>
              <w:t>Calciumhydroxid-Lösung</w:t>
            </w:r>
          </w:p>
        </w:tc>
        <w:tc>
          <w:tcPr>
            <w:tcW w:w="3177" w:type="dxa"/>
            <w:gridSpan w:val="3"/>
            <w:tcBorders>
              <w:top w:val="single" w:sz="8" w:space="0" w:color="4F81BD"/>
              <w:bottom w:val="single" w:sz="8" w:space="0" w:color="4F81BD"/>
            </w:tcBorders>
            <w:shd w:val="clear" w:color="auto" w:fill="auto"/>
            <w:vAlign w:val="center"/>
          </w:tcPr>
          <w:p w:rsidR="00F66E2C" w:rsidRPr="009C5E28" w:rsidRDefault="00F66E2C" w:rsidP="00BC7BC9">
            <w:pPr>
              <w:spacing w:after="0"/>
              <w:jc w:val="center"/>
              <w:rPr>
                <w:sz w:val="20"/>
              </w:rPr>
            </w:pPr>
            <w:r>
              <w:rPr>
                <w:sz w:val="20"/>
              </w:rPr>
              <w:t>H: 315-318-335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66E2C" w:rsidRPr="009C5E28" w:rsidRDefault="00F66E2C" w:rsidP="00BC7BC9">
            <w:pPr>
              <w:spacing w:after="0"/>
              <w:jc w:val="center"/>
              <w:rPr>
                <w:sz w:val="20"/>
              </w:rPr>
            </w:pPr>
            <w:r>
              <w:rPr>
                <w:sz w:val="20"/>
              </w:rPr>
              <w:t>P: 261-280-305+351+338</w:t>
            </w:r>
          </w:p>
        </w:tc>
      </w:tr>
      <w:tr w:rsidR="00F66E2C" w:rsidRPr="009C5E28" w:rsidTr="00BC7BC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66E2C" w:rsidRDefault="00F66E2C" w:rsidP="00BC7BC9">
            <w:pPr>
              <w:spacing w:after="0" w:line="276" w:lineRule="auto"/>
              <w:jc w:val="center"/>
              <w:rPr>
                <w:sz w:val="20"/>
              </w:rPr>
            </w:pPr>
            <w:r>
              <w:rPr>
                <w:sz w:val="20"/>
              </w:rPr>
              <w:t>Calciumcarbonat</w:t>
            </w:r>
          </w:p>
        </w:tc>
        <w:tc>
          <w:tcPr>
            <w:tcW w:w="3177" w:type="dxa"/>
            <w:gridSpan w:val="3"/>
            <w:tcBorders>
              <w:top w:val="single" w:sz="8" w:space="0" w:color="4F81BD"/>
              <w:bottom w:val="single" w:sz="8" w:space="0" w:color="4F81BD"/>
            </w:tcBorders>
            <w:shd w:val="clear" w:color="auto" w:fill="auto"/>
            <w:vAlign w:val="center"/>
          </w:tcPr>
          <w:p w:rsidR="00F66E2C" w:rsidRDefault="00F66E2C" w:rsidP="00BC7BC9">
            <w:pPr>
              <w:spacing w:after="0"/>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66E2C" w:rsidRDefault="00F66E2C" w:rsidP="00BC7BC9">
            <w:pPr>
              <w:spacing w:after="0"/>
              <w:jc w:val="center"/>
              <w:rPr>
                <w:sz w:val="20"/>
              </w:rPr>
            </w:pPr>
            <w:r>
              <w:rPr>
                <w:sz w:val="20"/>
              </w:rPr>
              <w:t>P: -</w:t>
            </w:r>
          </w:p>
        </w:tc>
      </w:tr>
      <w:tr w:rsidR="00F66E2C" w:rsidRPr="009C5E28" w:rsidTr="00BC7BC9">
        <w:tc>
          <w:tcPr>
            <w:tcW w:w="1009" w:type="dxa"/>
            <w:tcBorders>
              <w:top w:val="single" w:sz="8" w:space="0" w:color="4F81BD"/>
              <w:left w:val="single" w:sz="8" w:space="0" w:color="4F81BD"/>
              <w:bottom w:val="single" w:sz="8" w:space="0" w:color="4F81BD"/>
            </w:tcBorders>
            <w:shd w:val="clear" w:color="auto" w:fill="auto"/>
            <w:vAlign w:val="center"/>
          </w:tcPr>
          <w:p w:rsidR="00F66E2C" w:rsidRPr="009C5E28" w:rsidRDefault="00F66E2C" w:rsidP="00BC7BC9">
            <w:pPr>
              <w:spacing w:after="0"/>
              <w:jc w:val="center"/>
              <w:rPr>
                <w:b/>
                <w:bCs/>
              </w:rPr>
            </w:pPr>
            <w:r w:rsidRPr="00E910F4">
              <w:rPr>
                <w:b/>
                <w:noProof/>
                <w:lang w:eastAsia="de-DE"/>
              </w:rPr>
              <w:drawing>
                <wp:inline distT="0" distB="0" distL="0" distR="0" wp14:anchorId="0C7751C8" wp14:editId="5889153D">
                  <wp:extent cx="510320" cy="511200"/>
                  <wp:effectExtent l="19050" t="0" r="4030" b="0"/>
                  <wp:docPr id="125" name="Bild 20" descr="C:\Users\Friedrich.F\Desktop\SVP 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Friedrich.F\Desktop\SVP Chemie\Protokolle\Piktogramme\Ätzend.png"/>
                          <pic:cNvPicPr>
                            <a:picLocks noChangeAspect="1" noChangeArrowheads="1"/>
                          </pic:cNvPicPr>
                        </pic:nvPicPr>
                        <pic:blipFill>
                          <a:blip r:embed="rId5" cstate="print"/>
                          <a:srcRect/>
                          <a:stretch>
                            <a:fillRect/>
                          </a:stretch>
                        </pic:blipFill>
                        <pic:spPr bwMode="auto">
                          <a:xfrm>
                            <a:off x="0" y="0"/>
                            <a:ext cx="510320" cy="5112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66E2C" w:rsidRPr="009C5E28" w:rsidRDefault="00F66E2C" w:rsidP="00BC7BC9">
            <w:pPr>
              <w:spacing w:after="0"/>
              <w:jc w:val="center"/>
            </w:pPr>
            <w:r>
              <w:rPr>
                <w:noProof/>
                <w:lang w:eastAsia="de-DE"/>
              </w:rPr>
              <w:drawing>
                <wp:inline distT="0" distB="0" distL="0" distR="0" wp14:anchorId="1E009CBF" wp14:editId="1889FC8B">
                  <wp:extent cx="511200" cy="511200"/>
                  <wp:effectExtent l="19050" t="0" r="3150" b="0"/>
                  <wp:docPr id="252" name="Grafik 91" descr="C:\Users\Kristina\Desktop\SVP Chemi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ristina\Desktop\SVP Chemie\Piktogramme\Brandfördernd.png"/>
                          <pic:cNvPicPr>
                            <a:picLocks noChangeAspect="1" noChangeArrowheads="1"/>
                          </pic:cNvPicPr>
                        </pic:nvPicPr>
                        <pic:blipFill>
                          <a:blip r:embed="rId6"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66E2C" w:rsidRPr="009C5E28" w:rsidRDefault="00F66E2C" w:rsidP="00BC7BC9">
            <w:pPr>
              <w:spacing w:after="0"/>
              <w:jc w:val="center"/>
            </w:pPr>
            <w:r w:rsidRPr="00FF554F">
              <w:rPr>
                <w:noProof/>
                <w:lang w:eastAsia="de-DE"/>
              </w:rPr>
              <w:drawing>
                <wp:inline distT="0" distB="0" distL="0" distR="0" wp14:anchorId="00AA19F8" wp14:editId="18B2FEC9">
                  <wp:extent cx="511200" cy="511200"/>
                  <wp:effectExtent l="0" t="0" r="0" b="0"/>
                  <wp:docPr id="122" name="Grafik 92" descr="C:\Users\Kristina\Desktop\SVP Chemi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istina\Desktop\SVP Chemie\Piktogramme\Brennba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66E2C" w:rsidRPr="009C5E28" w:rsidRDefault="00F66E2C" w:rsidP="00BC7BC9">
            <w:pPr>
              <w:spacing w:after="0"/>
              <w:jc w:val="center"/>
            </w:pPr>
            <w:r>
              <w:rPr>
                <w:noProof/>
                <w:lang w:eastAsia="de-DE"/>
              </w:rPr>
              <w:drawing>
                <wp:inline distT="0" distB="0" distL="0" distR="0" wp14:anchorId="25E527A2" wp14:editId="632E432F">
                  <wp:extent cx="511200" cy="511200"/>
                  <wp:effectExtent l="19050" t="0" r="3150" b="0"/>
                  <wp:docPr id="254" name="Grafik 93" descr="C:\Users\Kristina\Desktop\SVP Chemi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ristina\Desktop\SVP Chemie\Piktogramme\Explosionsgefahr.png"/>
                          <pic:cNvPicPr>
                            <a:picLocks noChangeAspect="1" noChangeArrowheads="1"/>
                          </pic:cNvPicPr>
                        </pic:nvPicPr>
                        <pic:blipFill>
                          <a:blip r:embed="rId8"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66E2C" w:rsidRPr="009C5E28" w:rsidRDefault="00F66E2C" w:rsidP="00BC7BC9">
            <w:pPr>
              <w:spacing w:after="0"/>
              <w:jc w:val="center"/>
            </w:pPr>
            <w:r w:rsidRPr="00FF554F">
              <w:rPr>
                <w:noProof/>
                <w:lang w:eastAsia="de-DE"/>
              </w:rPr>
              <w:drawing>
                <wp:inline distT="0" distB="0" distL="0" distR="0" wp14:anchorId="00D455A8" wp14:editId="6CE6B54B">
                  <wp:extent cx="510320" cy="511200"/>
                  <wp:effectExtent l="19050" t="0" r="4030" b="0"/>
                  <wp:docPr id="121" name="Bild 21" descr="C:\Users\Friedrich.F\Desktop\SVP Chemie\Protokoll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Friedrich.F\Desktop\SVP Chemie\Protokolle\Piktogramme\Gasflasche.png"/>
                          <pic:cNvPicPr>
                            <a:picLocks noChangeAspect="1" noChangeArrowheads="1"/>
                          </pic:cNvPicPr>
                        </pic:nvPicPr>
                        <pic:blipFill>
                          <a:blip r:embed="rId9" cstate="print">
                            <a:duotone>
                              <a:schemeClr val="bg2">
                                <a:shade val="45000"/>
                                <a:satMod val="135000"/>
                              </a:schemeClr>
                              <a:prstClr val="white"/>
                            </a:duotone>
                          </a:blip>
                          <a:srcRect/>
                          <a:stretch>
                            <a:fillRect/>
                          </a:stretch>
                        </pic:blipFill>
                        <pic:spPr bwMode="auto">
                          <a:xfrm>
                            <a:off x="0" y="0"/>
                            <a:ext cx="510320" cy="51120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F66E2C" w:rsidRPr="009C5E28" w:rsidRDefault="00F66E2C" w:rsidP="00BC7BC9">
            <w:pPr>
              <w:spacing w:after="0"/>
              <w:jc w:val="center"/>
            </w:pPr>
            <w:r>
              <w:rPr>
                <w:noProof/>
                <w:lang w:eastAsia="de-DE"/>
              </w:rPr>
              <w:drawing>
                <wp:inline distT="0" distB="0" distL="0" distR="0" wp14:anchorId="69C5DEFA" wp14:editId="67081561">
                  <wp:extent cx="511200" cy="511200"/>
                  <wp:effectExtent l="19050" t="0" r="3150" b="0"/>
                  <wp:docPr id="69" name="Grafik 95" descr="C:\Users\Kristina\Desktop\SVP Chemi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ristina\Desktop\SVP Chemie\Piktogramme\Gesundheitsgefahr.png"/>
                          <pic:cNvPicPr>
                            <a:picLocks noChangeAspect="1" noChangeArrowheads="1"/>
                          </pic:cNvPicPr>
                        </pic:nvPicPr>
                        <pic:blipFill>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F66E2C" w:rsidRPr="009C5E28" w:rsidRDefault="00F66E2C" w:rsidP="00BC7BC9">
            <w:pPr>
              <w:spacing w:after="0"/>
              <w:jc w:val="center"/>
            </w:pPr>
            <w:r>
              <w:rPr>
                <w:noProof/>
                <w:lang w:eastAsia="de-DE"/>
              </w:rPr>
              <w:drawing>
                <wp:inline distT="0" distB="0" distL="0" distR="0" wp14:anchorId="3C290E0B" wp14:editId="0E0C93BE">
                  <wp:extent cx="511200" cy="511200"/>
                  <wp:effectExtent l="19050" t="0" r="3150" b="0"/>
                  <wp:docPr id="70" name="Grafik 96" descr="C:\Users\Kristina\Desktop\SVP Chemi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tina\Desktop\SVP Chemie\Piktogramme\Giftig.png"/>
                          <pic:cNvPicPr>
                            <a:picLocks noChangeAspect="1" noChangeArrowheads="1"/>
                          </pic:cNvPicPr>
                        </pic:nvPicPr>
                        <pic:blipFill>
                          <a:blip r:embed="rId11"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66E2C" w:rsidRPr="009C5E28" w:rsidRDefault="00F66E2C" w:rsidP="00BC7BC9">
            <w:pPr>
              <w:spacing w:after="0"/>
              <w:jc w:val="center"/>
            </w:pPr>
            <w:r w:rsidRPr="00E910F4">
              <w:rPr>
                <w:noProof/>
                <w:lang w:eastAsia="de-DE"/>
              </w:rPr>
              <w:drawing>
                <wp:inline distT="0" distB="0" distL="0" distR="0" wp14:anchorId="138C880A" wp14:editId="114B9AF6">
                  <wp:extent cx="510320" cy="511200"/>
                  <wp:effectExtent l="19050" t="0" r="4030" b="0"/>
                  <wp:docPr id="123" name="Bild 18" descr="C:\Users\Friedrich.F\Desktop\SVP Chemie\Protokolle\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Friedrich.F\Desktop\SVP Chemie\Protokolle\Piktogramme\Reizend.png"/>
                          <pic:cNvPicPr>
                            <a:picLocks noChangeAspect="1" noChangeArrowheads="1"/>
                          </pic:cNvPicPr>
                        </pic:nvPicPr>
                        <pic:blipFill>
                          <a:blip r:embed="rId12" cstate="print"/>
                          <a:srcRect/>
                          <a:stretch>
                            <a:fillRect/>
                          </a:stretch>
                        </pic:blipFill>
                        <pic:spPr bwMode="auto">
                          <a:xfrm>
                            <a:off x="0" y="0"/>
                            <a:ext cx="510320" cy="51120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F66E2C" w:rsidRPr="009C5E28" w:rsidRDefault="00F66E2C" w:rsidP="00BC7BC9">
            <w:pPr>
              <w:spacing w:after="0"/>
              <w:jc w:val="center"/>
            </w:pPr>
            <w:r w:rsidRPr="00E910F4">
              <w:rPr>
                <w:noProof/>
                <w:lang w:eastAsia="de-DE"/>
              </w:rPr>
              <w:drawing>
                <wp:inline distT="0" distB="0" distL="0" distR="0" wp14:anchorId="1C84931B" wp14:editId="250C2E14">
                  <wp:extent cx="510320" cy="511200"/>
                  <wp:effectExtent l="19050" t="0" r="4030" b="0"/>
                  <wp:docPr id="124" name="Bild 19" descr="C:\Users\Friedrich.F\Desktop\SVP Chemie\Protokoll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Friedrich.F\Desktop\SVP Chemie\Protokolle\Piktogramme\Umweltgefahr.png"/>
                          <pic:cNvPicPr>
                            <a:picLocks noChangeAspect="1" noChangeArrowheads="1"/>
                          </pic:cNvPicPr>
                        </pic:nvPicPr>
                        <pic:blipFill>
                          <a:blip r:embed="rId13" cstate="print"/>
                          <a:srcRect/>
                          <a:stretch>
                            <a:fillRect/>
                          </a:stretch>
                        </pic:blipFill>
                        <pic:spPr bwMode="auto">
                          <a:xfrm>
                            <a:off x="0" y="0"/>
                            <a:ext cx="510320" cy="511200"/>
                          </a:xfrm>
                          <a:prstGeom prst="rect">
                            <a:avLst/>
                          </a:prstGeom>
                          <a:noFill/>
                          <a:ln w="9525">
                            <a:noFill/>
                            <a:miter lim="800000"/>
                            <a:headEnd/>
                            <a:tailEnd/>
                          </a:ln>
                        </pic:spPr>
                      </pic:pic>
                    </a:graphicData>
                  </a:graphic>
                </wp:inline>
              </w:drawing>
            </w:r>
          </w:p>
        </w:tc>
      </w:tr>
    </w:tbl>
    <w:p w:rsidR="00F66E2C" w:rsidRPr="00A127D1" w:rsidRDefault="00F66E2C" w:rsidP="00F66E2C">
      <w:pPr>
        <w:tabs>
          <w:tab w:val="left" w:pos="1701"/>
          <w:tab w:val="left" w:pos="1985"/>
        </w:tabs>
        <w:spacing w:line="240" w:lineRule="auto"/>
        <w:ind w:left="1980" w:hanging="1980"/>
        <w:rPr>
          <w:sz w:val="14"/>
        </w:rPr>
      </w:pPr>
    </w:p>
    <w:p w:rsidR="00F66E2C" w:rsidRDefault="00F66E2C" w:rsidP="00F66E2C">
      <w:pPr>
        <w:tabs>
          <w:tab w:val="left" w:pos="1701"/>
          <w:tab w:val="left" w:pos="1985"/>
        </w:tabs>
        <w:ind w:left="1980" w:hanging="1980"/>
      </w:pPr>
      <w:r>
        <w:t xml:space="preserve">Materialien: </w:t>
      </w:r>
      <w:r>
        <w:tab/>
      </w:r>
      <w:r>
        <w:tab/>
        <w:t>Gasbrenner, Stativ, Glastrichter, Schlauchstücke, Schlauchschellen, Hausvakuum (alterativ: Wasserstrahlpumpe), 500 ml Becherglas, Hexe, U-Rohr, Spatel</w:t>
      </w:r>
    </w:p>
    <w:p w:rsidR="00F66E2C" w:rsidRDefault="00F66E2C" w:rsidP="00F66E2C">
      <w:pPr>
        <w:tabs>
          <w:tab w:val="left" w:pos="1701"/>
          <w:tab w:val="left" w:pos="1985"/>
        </w:tabs>
        <w:ind w:left="1980" w:hanging="1980"/>
      </w:pPr>
      <w:r>
        <w:t>Chemikalien:</w:t>
      </w:r>
      <w:r>
        <w:tab/>
      </w:r>
      <w:r>
        <w:tab/>
      </w:r>
      <w:r w:rsidRPr="003550F1">
        <w:t>Calciumhydroxid-Lösung</w:t>
      </w:r>
      <w:r>
        <w:t xml:space="preserve">, </w:t>
      </w:r>
      <w:r w:rsidRPr="003550F1">
        <w:t>Kupfer(II)</w:t>
      </w:r>
      <w:proofErr w:type="spellStart"/>
      <w:r w:rsidRPr="003550F1">
        <w:t>sulfat</w:t>
      </w:r>
      <w:proofErr w:type="spellEnd"/>
      <w:r w:rsidRPr="003550F1">
        <w:t xml:space="preserve"> (wasserfrei), </w:t>
      </w:r>
      <w:proofErr w:type="spellStart"/>
      <w:r w:rsidRPr="003550F1">
        <w:t>dest</w:t>
      </w:r>
      <w:proofErr w:type="spellEnd"/>
      <w:r w:rsidRPr="003550F1">
        <w:t>. Wasser, Eis</w:t>
      </w:r>
    </w:p>
    <w:p w:rsidR="00F66E2C" w:rsidRDefault="00F66E2C" w:rsidP="00F66E2C">
      <w:pPr>
        <w:tabs>
          <w:tab w:val="left" w:pos="1701"/>
          <w:tab w:val="left" w:pos="1985"/>
        </w:tabs>
        <w:ind w:left="1980" w:hanging="1980"/>
      </w:pPr>
      <w:r>
        <w:t xml:space="preserve">Durchführung: </w:t>
      </w:r>
      <w:r>
        <w:tab/>
      </w:r>
      <w:r>
        <w:tab/>
        <w:t>Ein umgekehrter Glastrichter wird mit einem gekühlten U-Rohr und einer Waschflasche durch Schläuche verbunden (siehe Abbildung 2). Die Waschflasche ist am Hausvakuum angeschlossen, alternativ kann aber auch eine Wasserstrahlpumpe verwendet werden. 2-3 Spatelspitzen des wasserfreien Kupfersulfats</w:t>
      </w:r>
      <w:r w:rsidRPr="003550F1">
        <w:t xml:space="preserve"> </w:t>
      </w:r>
      <w:r>
        <w:t xml:space="preserve">werden in das U-Rohr gegeben. Eine Calciumhydroxid-Lösung wird in die Waschflasche gefüllt und der Gasbrenner wird mit kleiner Flamme unter den Trichter gestellt. </w:t>
      </w:r>
    </w:p>
    <w:p w:rsidR="00F66E2C" w:rsidRDefault="00F66E2C" w:rsidP="00F66E2C">
      <w:pPr>
        <w:tabs>
          <w:tab w:val="left" w:pos="1701"/>
          <w:tab w:val="left" w:pos="1985"/>
        </w:tabs>
        <w:ind w:left="1980" w:hanging="1980"/>
      </w:pPr>
      <w:r>
        <w:t>Beobachtung:</w:t>
      </w:r>
      <w:r>
        <w:tab/>
      </w:r>
      <w:r>
        <w:tab/>
      </w:r>
      <w:r>
        <w:tab/>
        <w:t>Das weiße Kupfersulfat färbt sich bläulich und es bilden sich tropfen einer farblosen Flüssigkeit an der Innenseite des U-Rohrs. Die Calciumhydroxid-Lösung trübt sich weiß.</w:t>
      </w:r>
    </w:p>
    <w:p w:rsidR="00F66E2C" w:rsidRDefault="00F66E2C" w:rsidP="00F66E2C">
      <w:pPr>
        <w:tabs>
          <w:tab w:val="left" w:pos="1701"/>
          <w:tab w:val="left" w:pos="1985"/>
        </w:tabs>
        <w:ind w:left="1980" w:hanging="1980"/>
        <w:jc w:val="center"/>
      </w:pPr>
      <w:r>
        <w:rPr>
          <w:noProof/>
          <w:lang w:eastAsia="de-DE"/>
        </w:rPr>
        <w:lastRenderedPageBreak/>
        <w:drawing>
          <wp:inline distT="0" distB="0" distL="0" distR="0" wp14:anchorId="5F5082BD" wp14:editId="2EB485D2">
            <wp:extent cx="3716976" cy="2021533"/>
            <wp:effectExtent l="19050" t="0" r="0" b="0"/>
            <wp:docPr id="25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srcRect/>
                    <a:stretch>
                      <a:fillRect/>
                    </a:stretch>
                  </pic:blipFill>
                  <pic:spPr bwMode="auto">
                    <a:xfrm>
                      <a:off x="0" y="0"/>
                      <a:ext cx="3716976" cy="2021533"/>
                    </a:xfrm>
                    <a:prstGeom prst="rect">
                      <a:avLst/>
                    </a:prstGeom>
                    <a:noFill/>
                    <a:ln w="9525">
                      <a:noFill/>
                      <a:miter lim="800000"/>
                      <a:headEnd/>
                      <a:tailEnd/>
                    </a:ln>
                  </pic:spPr>
                </pic:pic>
              </a:graphicData>
            </a:graphic>
          </wp:inline>
        </w:drawing>
      </w:r>
    </w:p>
    <w:p w:rsidR="00F66E2C" w:rsidRDefault="00F66E2C" w:rsidP="00F66E2C">
      <w:pPr>
        <w:pStyle w:val="Beschriftung"/>
        <w:jc w:val="center"/>
      </w:pPr>
      <w:r>
        <w:t>Abbildung 2 – Apparatur zum Auffangen der Verbrennungsprodukte von Alkanen.</w:t>
      </w:r>
    </w:p>
    <w:p w:rsidR="00F66E2C" w:rsidRDefault="00F66E2C" w:rsidP="00F66E2C">
      <w:pPr>
        <w:keepNext/>
        <w:tabs>
          <w:tab w:val="left" w:pos="1701"/>
          <w:tab w:val="left" w:pos="1985"/>
        </w:tabs>
        <w:ind w:left="1980" w:hanging="1980"/>
        <w:jc w:val="center"/>
      </w:pPr>
      <w:r>
        <w:rPr>
          <w:noProof/>
          <w:lang w:eastAsia="de-DE"/>
        </w:rPr>
        <w:drawing>
          <wp:anchor distT="0" distB="0" distL="114300" distR="114300" simplePos="0" relativeHeight="251660288" behindDoc="0" locked="0" layoutInCell="1" allowOverlap="1" wp14:anchorId="5E7E981D" wp14:editId="399E6DAC">
            <wp:simplePos x="0" y="0"/>
            <wp:positionH relativeFrom="column">
              <wp:posOffset>2824480</wp:posOffset>
            </wp:positionH>
            <wp:positionV relativeFrom="paragraph">
              <wp:posOffset>363855</wp:posOffset>
            </wp:positionV>
            <wp:extent cx="1600200" cy="908685"/>
            <wp:effectExtent l="0" t="342900" r="0" b="329565"/>
            <wp:wrapThrough wrapText="bothSides">
              <wp:wrapPolygon edited="0">
                <wp:start x="39" y="22121"/>
                <wp:lineTo x="21381" y="22121"/>
                <wp:lineTo x="21381" y="-68"/>
                <wp:lineTo x="39" y="-68"/>
                <wp:lineTo x="39" y="22121"/>
              </wp:wrapPolygon>
            </wp:wrapThrough>
            <wp:docPr id="258" name="Bild 16" descr="C:\Users\Friedrich.F\Desktop\SVP Chemie 2\Klassenstufe 9+10\Fotos 9_10\20160729_112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Friedrich.F\Desktop\SVP Chemie 2\Klassenstufe 9+10\Fotos 9_10\20160729_112826.jpg"/>
                    <pic:cNvPicPr>
                      <a:picLocks noChangeAspect="1" noChangeArrowheads="1"/>
                    </pic:cNvPicPr>
                  </pic:nvPicPr>
                  <pic:blipFill>
                    <a:blip r:embed="rId15" cstate="print"/>
                    <a:srcRect/>
                    <a:stretch>
                      <a:fillRect/>
                    </a:stretch>
                  </pic:blipFill>
                  <pic:spPr bwMode="auto">
                    <a:xfrm rot="5400000">
                      <a:off x="0" y="0"/>
                      <a:ext cx="1600200" cy="908685"/>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61312" behindDoc="0" locked="0" layoutInCell="1" allowOverlap="1" wp14:anchorId="0DE230DC" wp14:editId="39792570">
            <wp:simplePos x="0" y="0"/>
            <wp:positionH relativeFrom="column">
              <wp:posOffset>1463675</wp:posOffset>
            </wp:positionH>
            <wp:positionV relativeFrom="paragraph">
              <wp:posOffset>17780</wp:posOffset>
            </wp:positionV>
            <wp:extent cx="1609725" cy="1590675"/>
            <wp:effectExtent l="0" t="19050" r="0" b="0"/>
            <wp:wrapThrough wrapText="bothSides">
              <wp:wrapPolygon edited="0">
                <wp:start x="-128" y="21729"/>
                <wp:lineTo x="21344" y="21729"/>
                <wp:lineTo x="21344" y="0"/>
                <wp:lineTo x="-128" y="0"/>
                <wp:lineTo x="-128" y="21729"/>
              </wp:wrapPolygon>
            </wp:wrapThrough>
            <wp:docPr id="259" name="Bild 17" descr="C:\Users\Friedrich.F\Desktop\SVP Chemie 2\Klassenstufe 9+10\Fotos 9_10\20160729_112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Friedrich.F\Desktop\SVP Chemie 2\Klassenstufe 9+10\Fotos 9_10\20160729_112711.jpg"/>
                    <pic:cNvPicPr>
                      <a:picLocks noChangeAspect="1" noChangeArrowheads="1"/>
                    </pic:cNvPicPr>
                  </pic:nvPicPr>
                  <pic:blipFill>
                    <a:blip r:embed="rId16" cstate="print"/>
                    <a:srcRect/>
                    <a:stretch>
                      <a:fillRect/>
                    </a:stretch>
                  </pic:blipFill>
                  <pic:spPr bwMode="auto">
                    <a:xfrm rot="5400000">
                      <a:off x="0" y="0"/>
                      <a:ext cx="1609725" cy="1590675"/>
                    </a:xfrm>
                    <a:prstGeom prst="rect">
                      <a:avLst/>
                    </a:prstGeom>
                    <a:noFill/>
                    <a:ln w="9525">
                      <a:noFill/>
                      <a:miter lim="800000"/>
                      <a:headEnd/>
                      <a:tailEnd/>
                    </a:ln>
                  </pic:spPr>
                </pic:pic>
              </a:graphicData>
            </a:graphic>
          </wp:anchor>
        </w:drawing>
      </w:r>
    </w:p>
    <w:p w:rsidR="00F66E2C" w:rsidRDefault="00F66E2C" w:rsidP="00F66E2C">
      <w:pPr>
        <w:keepNext/>
        <w:tabs>
          <w:tab w:val="left" w:pos="1701"/>
          <w:tab w:val="left" w:pos="1985"/>
        </w:tabs>
        <w:ind w:left="1980" w:hanging="1980"/>
        <w:jc w:val="center"/>
      </w:pPr>
    </w:p>
    <w:p w:rsidR="00F66E2C" w:rsidRDefault="00F66E2C" w:rsidP="00F66E2C">
      <w:pPr>
        <w:keepNext/>
        <w:tabs>
          <w:tab w:val="left" w:pos="1701"/>
          <w:tab w:val="left" w:pos="1985"/>
        </w:tabs>
        <w:ind w:left="1980" w:hanging="1980"/>
        <w:jc w:val="center"/>
      </w:pPr>
    </w:p>
    <w:p w:rsidR="00F66E2C" w:rsidRDefault="00F66E2C" w:rsidP="00F66E2C">
      <w:pPr>
        <w:keepNext/>
        <w:tabs>
          <w:tab w:val="left" w:pos="1701"/>
          <w:tab w:val="left" w:pos="1985"/>
        </w:tabs>
        <w:ind w:left="1980" w:hanging="1980"/>
        <w:jc w:val="center"/>
      </w:pPr>
    </w:p>
    <w:p w:rsidR="00F66E2C" w:rsidRDefault="00F66E2C" w:rsidP="00F66E2C">
      <w:pPr>
        <w:keepNext/>
        <w:tabs>
          <w:tab w:val="left" w:pos="1701"/>
          <w:tab w:val="left" w:pos="1985"/>
        </w:tabs>
        <w:ind w:left="1980" w:hanging="1980"/>
        <w:jc w:val="center"/>
      </w:pPr>
    </w:p>
    <w:p w:rsidR="00F66E2C" w:rsidRDefault="00F66E2C" w:rsidP="00F66E2C">
      <w:pPr>
        <w:pStyle w:val="Beschriftung"/>
        <w:jc w:val="center"/>
      </w:pPr>
      <w:r>
        <w:t>Abbildung 3 - Links: Kupfersulfat. Rechts: getrübte Calciumhydroxid-Lösung.</w:t>
      </w:r>
    </w:p>
    <w:p w:rsidR="00F66E2C" w:rsidRDefault="00F66E2C" w:rsidP="00F66E2C">
      <w:pPr>
        <w:tabs>
          <w:tab w:val="left" w:pos="1701"/>
          <w:tab w:val="left" w:pos="1985"/>
        </w:tabs>
        <w:ind w:left="1980" w:hanging="1980"/>
        <w:rPr>
          <w:color w:val="auto"/>
        </w:rPr>
      </w:pPr>
      <w:r>
        <w:t>Deutung:</w:t>
      </w:r>
      <w:r>
        <w:tab/>
      </w:r>
      <w:r>
        <w:tab/>
        <w:t xml:space="preserve">Bei der Verbrennung von Propan entstehen die Verbrennungsprodukte Kohlenstoffdioxid und Wasser. Diese werden durch das Hausvakuum durch die Apparatur geleitet. Alternativ kann auch mit einer Wasserstrahlpumpe Vakuum erzeugt werden, falls in der Schule kein Hausvakuum zur Verfügung steht. Das </w:t>
      </w:r>
      <w:r w:rsidRPr="00A3139F">
        <w:rPr>
          <w:color w:val="auto"/>
        </w:rPr>
        <w:t xml:space="preserve">Hausvakuum wird benötigt, um die Verbrennungsprodukte effektiv durch die Apparatur zu leiten. Ohne Vakuum </w:t>
      </w:r>
      <w:r>
        <w:rPr>
          <w:color w:val="auto"/>
        </w:rPr>
        <w:t>sind die Nachweisreaktionen kaum zu erkennen</w:t>
      </w:r>
      <w:r w:rsidRPr="00A3139F">
        <w:rPr>
          <w:color w:val="auto"/>
        </w:rPr>
        <w:t>. Kupfersulfat reagiert</w:t>
      </w:r>
      <w:r>
        <w:t xml:space="preserve"> mit Wasser zu Kupfersulfat </w:t>
      </w:r>
      <w:proofErr w:type="spellStart"/>
      <w:r>
        <w:t>Pentahydrat</w:t>
      </w:r>
      <w:proofErr w:type="spellEnd"/>
      <w:r>
        <w:t xml:space="preserve">, welches eine blaue Färbung hat. Beim Einleiten von Kohlenstoffdioxid in Calciumhydroxid-Lösung bildet sich Calciumcarbonat </w:t>
      </w:r>
      <w:r w:rsidRPr="003D07A7">
        <w:rPr>
          <w:color w:val="auto"/>
        </w:rPr>
        <w:t>als weißer Niederschlag. Das Entstehen eines Kupferkomplex sollte in der 9./10. Jahrgangsstufe nicht thematisiert werden. Die Erklärung würde zu weit führen und eventuell Verständnisschwierigkeiten verursachen. Aus diesen Gründen müsste didaktisch reduziert werden. Es sollte nur auf die Farbveränderung eingegangen werden und nicht auf die Bildung des Kupferkomplex.</w:t>
      </w:r>
    </w:p>
    <w:p w:rsidR="00F66E2C" w:rsidRDefault="00F66E2C" w:rsidP="00F66E2C">
      <w:pPr>
        <w:tabs>
          <w:tab w:val="left" w:pos="1701"/>
          <w:tab w:val="left" w:pos="1985"/>
        </w:tabs>
        <w:ind w:left="1980" w:hanging="1980"/>
      </w:pPr>
    </w:p>
    <w:p w:rsidR="00F66E2C" w:rsidRDefault="00F66E2C" w:rsidP="00F66E2C">
      <w:pPr>
        <w:tabs>
          <w:tab w:val="left" w:pos="1701"/>
          <w:tab w:val="left" w:pos="1985"/>
        </w:tabs>
        <w:ind w:left="1980" w:hanging="1980"/>
      </w:pPr>
    </w:p>
    <w:p w:rsidR="00F66E2C" w:rsidRDefault="00F66E2C" w:rsidP="00F66E2C">
      <w:pPr>
        <w:tabs>
          <w:tab w:val="left" w:pos="1701"/>
          <w:tab w:val="left" w:pos="1985"/>
        </w:tabs>
        <w:ind w:left="1980" w:hanging="1980"/>
      </w:pPr>
      <w:r>
        <w:lastRenderedPageBreak/>
        <w:tab/>
      </w:r>
      <w:r>
        <w:tab/>
        <w:t>Reaktionsgleichungen:</w:t>
      </w:r>
    </w:p>
    <w:p w:rsidR="00F66E2C" w:rsidRPr="00165C24" w:rsidRDefault="00F66E2C" w:rsidP="00F66E2C">
      <w:pPr>
        <w:tabs>
          <w:tab w:val="left" w:pos="1701"/>
          <w:tab w:val="left" w:pos="1985"/>
        </w:tabs>
        <w:ind w:left="1980" w:hanging="1980"/>
        <w:rPr>
          <w:rFonts w:eastAsiaTheme="minorEastAsia"/>
        </w:rPr>
      </w:pPr>
      <w:r>
        <w:tab/>
      </w:r>
      <w:r>
        <w:tab/>
        <w:t xml:space="preserve">(1) </w:t>
      </w:r>
      <m:oMath>
        <m:sSub>
          <m:sSubPr>
            <m:ctrlPr>
              <w:rPr>
                <w:rFonts w:ascii="Cambria Math" w:hAnsi="Cambria Math"/>
              </w:rPr>
            </m:ctrlPr>
          </m:sSubPr>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3</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8</m:t>
                </m:r>
              </m:sub>
            </m:sSub>
          </m:e>
          <m:sub>
            <m:r>
              <m:rPr>
                <m:sty m:val="p"/>
              </m:rPr>
              <w:rPr>
                <w:rFonts w:ascii="Cambria Math" w:hAnsi="Cambria Math"/>
              </w:rPr>
              <m:t>(g)</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 xml:space="preserve">5 </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e>
          <m:sub>
            <m:r>
              <m:rPr>
                <m:sty m:val="p"/>
              </m:rPr>
              <w:rPr>
                <w:rFonts w:ascii="Cambria Math" w:hAnsi="Cambria Math"/>
              </w:rPr>
              <m:t>(g)</m:t>
            </m:r>
          </m:sub>
        </m:sSub>
        <m:r>
          <m:rPr>
            <m:sty m:val="p"/>
          </m:rPr>
          <w:rPr>
            <w:rFonts w:ascii="Cambria Math" w:hAnsi="Cambria Math"/>
          </w:rPr>
          <m:t>→</m:t>
        </m:r>
        <m:sSub>
          <m:sSubPr>
            <m:ctrlPr>
              <w:rPr>
                <w:rFonts w:ascii="Cambria Math" w:eastAsiaTheme="minorEastAsia" w:hAnsi="Cambria Math"/>
              </w:rPr>
            </m:ctrlPr>
          </m:sSubPr>
          <m:e>
            <m:sSub>
              <m:sSubPr>
                <m:ctrlPr>
                  <w:rPr>
                    <w:rFonts w:ascii="Cambria Math" w:eastAsiaTheme="minorEastAsia" w:hAnsi="Cambria Math"/>
                  </w:rPr>
                </m:ctrlPr>
              </m:sSubPr>
              <m:e>
                <m:r>
                  <m:rPr>
                    <m:sty m:val="p"/>
                  </m:rPr>
                  <w:rPr>
                    <w:rFonts w:ascii="Cambria Math" w:eastAsiaTheme="minorEastAsia" w:hAnsi="Cambria Math"/>
                  </w:rPr>
                  <m:t>3 CO</m:t>
                </m:r>
              </m:e>
              <m:sub>
                <m:r>
                  <m:rPr>
                    <m:sty m:val="p"/>
                  </m:rPr>
                  <w:rPr>
                    <w:rFonts w:ascii="Cambria Math" w:eastAsiaTheme="minorEastAsia" w:hAnsi="Cambria Math"/>
                  </w:rPr>
                  <m:t>2</m:t>
                </m:r>
              </m:sub>
            </m:sSub>
          </m:e>
          <m:sub>
            <m:r>
              <m:rPr>
                <m:sty m:val="p"/>
              </m:rPr>
              <w:rPr>
                <w:rFonts w:ascii="Cambria Math" w:eastAsiaTheme="minorEastAsia" w:hAnsi="Cambria Math"/>
              </w:rPr>
              <m:t>(g)</m:t>
            </m:r>
          </m:sub>
        </m:sSub>
        <m:r>
          <m:rPr>
            <m:sty m:val="p"/>
          </m:rPr>
          <w:rPr>
            <w:rFonts w:ascii="Cambria Math" w:hAnsi="Cambria Math"/>
          </w:rPr>
          <m:t>+</m:t>
        </m:r>
        <m:sSub>
          <m:sSubPr>
            <m:ctrlPr>
              <w:rPr>
                <w:rFonts w:ascii="Cambria Math" w:eastAsiaTheme="minorEastAsia" w:hAnsi="Cambria Math"/>
              </w:rPr>
            </m:ctrlPr>
          </m:sSubPr>
          <m:e>
            <m:sSub>
              <m:sSubPr>
                <m:ctrlPr>
                  <w:rPr>
                    <w:rFonts w:ascii="Cambria Math" w:eastAsiaTheme="minorEastAsia" w:hAnsi="Cambria Math"/>
                  </w:rPr>
                </m:ctrlPr>
              </m:sSubPr>
              <m:e>
                <m:r>
                  <m:rPr>
                    <m:sty m:val="p"/>
                  </m:rPr>
                  <w:rPr>
                    <w:rFonts w:ascii="Cambria Math" w:eastAsiaTheme="minorEastAsia" w:hAnsi="Cambria Math"/>
                  </w:rPr>
                  <m:t>4 H</m:t>
                </m:r>
              </m:e>
              <m:sub>
                <m:r>
                  <m:rPr>
                    <m:sty m:val="p"/>
                  </m:rPr>
                  <w:rPr>
                    <w:rFonts w:ascii="Cambria Math" w:eastAsiaTheme="minorEastAsia" w:hAnsi="Cambria Math"/>
                  </w:rPr>
                  <m:t>2</m:t>
                </m:r>
              </m:sub>
            </m:sSub>
            <m:r>
              <m:rPr>
                <m:sty m:val="p"/>
              </m:rPr>
              <w:rPr>
                <w:rFonts w:ascii="Cambria Math" w:eastAsiaTheme="minorEastAsia" w:hAnsi="Cambria Math"/>
              </w:rPr>
              <m:t>O</m:t>
            </m:r>
          </m:e>
          <m:sub>
            <m:r>
              <m:rPr>
                <m:sty m:val="p"/>
              </m:rPr>
              <w:rPr>
                <w:rFonts w:ascii="Cambria Math" w:eastAsiaTheme="minorEastAsia" w:hAnsi="Cambria Math"/>
              </w:rPr>
              <m:t>(l)</m:t>
            </m:r>
          </m:sub>
        </m:sSub>
      </m:oMath>
    </w:p>
    <w:p w:rsidR="00F66E2C" w:rsidRDefault="00F66E2C" w:rsidP="00F66E2C">
      <w:pPr>
        <w:tabs>
          <w:tab w:val="left" w:pos="1701"/>
          <w:tab w:val="left" w:pos="1985"/>
        </w:tabs>
        <w:ind w:left="1980" w:hanging="1980"/>
        <w:rPr>
          <w:rFonts w:eastAsiaTheme="minorEastAsia"/>
        </w:rPr>
      </w:pPr>
      <w:r>
        <w:tab/>
      </w:r>
      <w:r>
        <w:tab/>
      </w:r>
      <w:r>
        <w:rPr>
          <w:rFonts w:eastAsiaTheme="minorEastAsia"/>
        </w:rPr>
        <w:t xml:space="preserve">(2) </w:t>
      </w:r>
      <m:oMath>
        <m:sSub>
          <m:sSubPr>
            <m:ctrlPr>
              <w:rPr>
                <w:rFonts w:ascii="Cambria Math" w:hAnsi="Cambria Math"/>
              </w:rPr>
            </m:ctrlPr>
          </m:sSubPr>
          <m:e>
            <m:sSub>
              <m:sSubPr>
                <m:ctrlPr>
                  <w:rPr>
                    <w:rFonts w:ascii="Cambria Math" w:hAnsi="Cambria Math"/>
                  </w:rPr>
                </m:ctrlPr>
              </m:sSubPr>
              <m:e>
                <m:r>
                  <m:rPr>
                    <m:sty m:val="p"/>
                  </m:rPr>
                  <w:rPr>
                    <w:rFonts w:ascii="Cambria Math" w:hAnsi="Cambria Math"/>
                  </w:rPr>
                  <m:t>CuSO</m:t>
                </m:r>
              </m:e>
              <m:sub>
                <m:r>
                  <m:rPr>
                    <m:sty m:val="p"/>
                  </m:rPr>
                  <w:rPr>
                    <w:rFonts w:ascii="Cambria Math" w:hAnsi="Cambria Math"/>
                  </w:rPr>
                  <m:t>4</m:t>
                </m:r>
              </m:sub>
            </m:sSub>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5 H</m:t>
                </m:r>
              </m:e>
              <m:sub>
                <m:r>
                  <m:rPr>
                    <m:sty m:val="p"/>
                  </m:rPr>
                  <w:rPr>
                    <w:rFonts w:ascii="Cambria Math" w:hAnsi="Cambria Math"/>
                  </w:rPr>
                  <m:t>2</m:t>
                </m:r>
              </m:sub>
            </m:sSub>
            <m:r>
              <m:rPr>
                <m:sty m:val="p"/>
              </m:rPr>
              <w:rPr>
                <w:rFonts w:ascii="Cambria Math" w:hAnsi="Cambria Math"/>
              </w:rPr>
              <m:t>O</m:t>
            </m:r>
          </m:e>
          <m:sub>
            <m:r>
              <m:rPr>
                <m:sty m:val="p"/>
              </m:rPr>
              <w:rPr>
                <w:rFonts w:ascii="Cambria Math" w:hAnsi="Cambria Math"/>
              </w:rPr>
              <m:t>(l)</m:t>
            </m:r>
          </m:sub>
        </m:sSub>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[Cu(H</m:t>
                </m:r>
              </m:e>
              <m:sub>
                <m:r>
                  <m:rPr>
                    <m:sty m:val="p"/>
                  </m:rPr>
                  <w:rPr>
                    <w:rFonts w:ascii="Cambria Math" w:hAnsi="Cambria Math"/>
                  </w:rPr>
                  <m:t>2</m:t>
                </m:r>
              </m:sub>
            </m:sSub>
            <m:r>
              <m:rPr>
                <m:sty m:val="p"/>
              </m:rPr>
              <w:rPr>
                <w:rFonts w:ascii="Cambria Math" w:hAnsi="Cambria Math"/>
              </w:rPr>
              <m:t>O)</m:t>
            </m:r>
          </m:e>
          <m:sub>
            <m:r>
              <m:rPr>
                <m:sty m:val="p"/>
              </m:rPr>
              <w:rPr>
                <w:rFonts w:ascii="Cambria Math" w:hAnsi="Cambria Math"/>
              </w:rPr>
              <m:t>4</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SO</m:t>
            </m:r>
          </m:e>
          <m:sub>
            <m:r>
              <m:rPr>
                <m:sty m:val="p"/>
              </m:rPr>
              <w:rPr>
                <w:rFonts w:ascii="Cambria Math" w:hAnsi="Cambria Math"/>
              </w:rPr>
              <m:t>4</m:t>
            </m:r>
          </m:sub>
        </m:sSub>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0</m:t>
            </m:r>
          </m:e>
          <m:sub>
            <m:r>
              <m:rPr>
                <m:sty m:val="p"/>
              </m:rPr>
              <w:rPr>
                <w:rFonts w:ascii="Cambria Math" w:hAnsi="Cambria Math"/>
              </w:rPr>
              <m:t>(aq)</m:t>
            </m:r>
          </m:sub>
        </m:sSub>
      </m:oMath>
    </w:p>
    <w:p w:rsidR="00F66E2C" w:rsidRDefault="00F66E2C" w:rsidP="00F66E2C">
      <w:pPr>
        <w:tabs>
          <w:tab w:val="left" w:pos="1701"/>
          <w:tab w:val="left" w:pos="1985"/>
        </w:tabs>
      </w:pPr>
      <w:r>
        <w:rPr>
          <w:rFonts w:eastAsiaTheme="minorEastAsia"/>
        </w:rPr>
        <w:tab/>
      </w:r>
      <w:r>
        <w:rPr>
          <w:rFonts w:eastAsiaTheme="minorEastAsia"/>
        </w:rPr>
        <w:tab/>
        <w:t xml:space="preserve">(3) </w:t>
      </w:r>
      <m:oMath>
        <m:sSub>
          <m:sSubPr>
            <m:ctrlPr>
              <w:rPr>
                <w:rFonts w:ascii="Cambria Math" w:hAnsi="Cambria Math"/>
              </w:rPr>
            </m:ctrlPr>
          </m:sSubPr>
          <m:e>
            <m:sSub>
              <m:sSubPr>
                <m:ctrlPr>
                  <w:rPr>
                    <w:rFonts w:ascii="Cambria Math" w:hAnsi="Cambria Math"/>
                  </w:rPr>
                </m:ctrlPr>
              </m:sSubPr>
              <m:e>
                <m:r>
                  <m:rPr>
                    <m:sty m:val="p"/>
                  </m:rPr>
                  <w:rPr>
                    <w:rFonts w:ascii="Cambria Math" w:hAnsi="Cambria Math"/>
                  </w:rPr>
                  <m:t>Ca(OH)</m:t>
                </m:r>
              </m:e>
              <m:sub>
                <m:r>
                  <m:rPr>
                    <m:sty m:val="p"/>
                  </m:rPr>
                  <w:rPr>
                    <w:rFonts w:ascii="Cambria Math" w:hAnsi="Cambria Math"/>
                  </w:rPr>
                  <m:t>2</m:t>
                </m:r>
              </m:sub>
            </m:sSub>
          </m:e>
          <m:sub>
            <m:r>
              <m:rPr>
                <m:sty m:val="p"/>
              </m:rPr>
              <w:rPr>
                <w:rFonts w:ascii="Cambria Math" w:hAnsi="Cambria Math"/>
              </w:rPr>
              <m:t>(aq)</m:t>
            </m:r>
          </m:sub>
        </m:sSub>
        <m:r>
          <m:rPr>
            <m:sty m:val="p"/>
          </m:rPr>
          <w:rPr>
            <w:rFonts w:ascii="Cambria Math" w:eastAsiaTheme="minorEastAsia" w:hAnsi="Cambria Math"/>
          </w:rPr>
          <m:t>+</m:t>
        </m:r>
        <m:sSub>
          <m:sSubPr>
            <m:ctrlPr>
              <w:rPr>
                <w:rFonts w:ascii="Cambria Math" w:eastAsiaTheme="minorEastAsia" w:hAnsi="Cambria Math"/>
              </w:rPr>
            </m:ctrlPr>
          </m:sSubPr>
          <m:e>
            <m:sSub>
              <m:sSubPr>
                <m:ctrlPr>
                  <w:rPr>
                    <w:rFonts w:ascii="Cambria Math" w:eastAsiaTheme="minorEastAsia" w:hAnsi="Cambria Math"/>
                  </w:rPr>
                </m:ctrlPr>
              </m:sSubPr>
              <m:e>
                <m:r>
                  <m:rPr>
                    <m:sty m:val="p"/>
                  </m:rPr>
                  <w:rPr>
                    <w:rFonts w:ascii="Cambria Math" w:eastAsiaTheme="minorEastAsia" w:hAnsi="Cambria Math"/>
                  </w:rPr>
                  <m:t>CO</m:t>
                </m:r>
              </m:e>
              <m:sub>
                <m:r>
                  <m:rPr>
                    <m:sty m:val="p"/>
                  </m:rPr>
                  <w:rPr>
                    <w:rFonts w:ascii="Cambria Math" w:eastAsiaTheme="minorEastAsia" w:hAnsi="Cambria Math"/>
                  </w:rPr>
                  <m:t>2</m:t>
                </m:r>
              </m:sub>
            </m:sSub>
          </m:e>
          <m:sub>
            <m:r>
              <m:rPr>
                <m:sty m:val="p"/>
              </m:rPr>
              <w:rPr>
                <w:rFonts w:ascii="Cambria Math" w:eastAsiaTheme="minorEastAsia" w:hAnsi="Cambria Math"/>
              </w:rPr>
              <m:t>(g)</m:t>
            </m:r>
          </m:sub>
        </m:sSub>
        <m:r>
          <m:rPr>
            <m:sty m:val="p"/>
          </m:rPr>
          <w:rPr>
            <w:rFonts w:ascii="Cambria Math" w:eastAsiaTheme="minorEastAsia" w:hAnsi="Cambria Math"/>
          </w:rPr>
          <m:t>→</m:t>
        </m:r>
        <m:sSub>
          <m:sSubPr>
            <m:ctrlPr>
              <w:rPr>
                <w:rFonts w:ascii="Cambria Math" w:eastAsiaTheme="minorEastAsia" w:hAnsi="Cambria Math"/>
              </w:rPr>
            </m:ctrlPr>
          </m:sSubPr>
          <m:e>
            <m:sSub>
              <m:sSubPr>
                <m:ctrlPr>
                  <w:rPr>
                    <w:rFonts w:ascii="Cambria Math" w:eastAsiaTheme="minorEastAsia" w:hAnsi="Cambria Math"/>
                  </w:rPr>
                </m:ctrlPr>
              </m:sSubPr>
              <m:e>
                <m:r>
                  <m:rPr>
                    <m:sty m:val="p"/>
                  </m:rPr>
                  <w:rPr>
                    <w:rFonts w:ascii="Cambria Math" w:eastAsiaTheme="minorEastAsia" w:hAnsi="Cambria Math"/>
                  </w:rPr>
                  <m:t>CaCO</m:t>
                </m:r>
              </m:e>
              <m:sub>
                <m:r>
                  <m:rPr>
                    <m:sty m:val="p"/>
                  </m:rPr>
                  <w:rPr>
                    <w:rFonts w:ascii="Cambria Math" w:eastAsiaTheme="minorEastAsia" w:hAnsi="Cambria Math"/>
                  </w:rPr>
                  <m:t>3</m:t>
                </m:r>
              </m:sub>
            </m:sSub>
          </m:e>
          <m:sub>
            <m:r>
              <m:rPr>
                <m:sty m:val="p"/>
              </m:rPr>
              <w:rPr>
                <w:rFonts w:ascii="Cambria Math" w:eastAsiaTheme="minorEastAsia" w:hAnsi="Cambria Math"/>
              </w:rPr>
              <m:t>(s)</m:t>
            </m:r>
          </m:sub>
        </m:sSub>
        <m:r>
          <m:rPr>
            <m:sty m:val="p"/>
          </m:rPr>
          <w:rPr>
            <w:rFonts w:ascii="Cambria Math" w:eastAsiaTheme="minorEastAsia" w:hAnsi="Cambria Math"/>
          </w:rPr>
          <m:t>↓+</m:t>
        </m:r>
        <m:sSub>
          <m:sSubPr>
            <m:ctrlPr>
              <w:rPr>
                <w:rFonts w:ascii="Cambria Math" w:eastAsiaTheme="minorEastAsia" w:hAnsi="Cambria Math"/>
              </w:rPr>
            </m:ctrlPr>
          </m:sSubPr>
          <m:e>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O</m:t>
            </m:r>
          </m:e>
          <m:sub>
            <m:r>
              <m:rPr>
                <m:sty m:val="p"/>
              </m:rPr>
              <w:rPr>
                <w:rFonts w:ascii="Cambria Math" w:eastAsiaTheme="minorEastAsia" w:hAnsi="Cambria Math"/>
              </w:rPr>
              <m:t>(l)</m:t>
            </m:r>
          </m:sub>
        </m:sSub>
      </m:oMath>
    </w:p>
    <w:p w:rsidR="00F66E2C" w:rsidRDefault="00F66E2C" w:rsidP="00F66E2C">
      <w:pPr>
        <w:tabs>
          <w:tab w:val="left" w:pos="1701"/>
          <w:tab w:val="left" w:pos="1985"/>
        </w:tabs>
        <w:ind w:left="1985" w:hanging="1985"/>
      </w:pPr>
      <w:r>
        <w:t>Entsorgung:</w:t>
      </w:r>
      <w:r>
        <w:tab/>
      </w:r>
      <w:r>
        <w:tab/>
      </w:r>
      <w:r w:rsidRPr="00E910F4">
        <w:t>Nicht brennbare Gase im Abzug entsorgen. Reste brennbarer Gase vorsichtig im Abzug ab</w:t>
      </w:r>
      <w:r>
        <w:t>brennen</w:t>
      </w:r>
      <w:r w:rsidRPr="00E910F4">
        <w:t>.</w:t>
      </w:r>
      <w:r>
        <w:t xml:space="preserve"> Kupfersulfat kann im a</w:t>
      </w:r>
      <w:r w:rsidRPr="00E910F4">
        <w:t>nor</w:t>
      </w:r>
      <w:r>
        <w:t>ganischen Abfall mit S</w:t>
      </w:r>
      <w:r w:rsidRPr="00E910F4">
        <w:t>chwermetall</w:t>
      </w:r>
      <w:r>
        <w:t xml:space="preserve"> entsorgt werden. Calciumcarbonat kann im Abfluss entsorgt werden.</w:t>
      </w:r>
    </w:p>
    <w:p w:rsidR="00F66E2C" w:rsidRDefault="00F66E2C" w:rsidP="00F66E2C">
      <w:pPr>
        <w:spacing w:line="276" w:lineRule="auto"/>
        <w:ind w:left="1980" w:hanging="1980"/>
        <w:jc w:val="left"/>
      </w:pPr>
      <w:r>
        <w:t>Literatur:</w:t>
      </w:r>
      <w:r>
        <w:tab/>
        <w:t xml:space="preserve">Seilnacht, T. </w:t>
      </w:r>
      <w:r w:rsidRPr="00602A83">
        <w:t>http://www.seilnacht.com/Lexikon/orgkohl.html</w:t>
      </w:r>
    </w:p>
    <w:p w:rsidR="00F66E2C" w:rsidRDefault="00F66E2C" w:rsidP="00F66E2C">
      <w:pPr>
        <w:tabs>
          <w:tab w:val="left" w:pos="1701"/>
          <w:tab w:val="left" w:pos="1985"/>
        </w:tabs>
        <w:ind w:left="2124" w:hanging="2124"/>
      </w:pPr>
      <w:r>
        <w:rPr>
          <w:noProof/>
          <w:lang w:eastAsia="de-DE"/>
        </w:rPr>
        <mc:AlternateContent>
          <mc:Choice Requires="wps">
            <w:drawing>
              <wp:inline distT="0" distB="0" distL="0" distR="0" wp14:anchorId="779E1865" wp14:editId="071ACB50">
                <wp:extent cx="5873115" cy="835025"/>
                <wp:effectExtent l="13970" t="10160" r="8890" b="12065"/>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350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66E2C" w:rsidRPr="00774885" w:rsidRDefault="00F66E2C" w:rsidP="00F66E2C">
                            <w:pPr>
                              <w:rPr>
                                <w:color w:val="auto"/>
                              </w:rPr>
                            </w:pPr>
                            <w:r w:rsidRPr="00887F74">
                              <w:rPr>
                                <w:b/>
                                <w:color w:val="auto"/>
                              </w:rPr>
                              <w:t>Unterrichtsanschlüsse:</w:t>
                            </w:r>
                            <w:r>
                              <w:rPr>
                                <w:color w:val="auto"/>
                              </w:rPr>
                              <w:t xml:space="preserve"> </w:t>
                            </w:r>
                            <w:r w:rsidRPr="00B5262B">
                              <w:rPr>
                                <w:color w:val="auto"/>
                              </w:rPr>
                              <w:t xml:space="preserve">Der Versuch dient als Einführung in die Alkane und </w:t>
                            </w:r>
                            <w:r>
                              <w:rPr>
                                <w:color w:val="auto"/>
                              </w:rPr>
                              <w:t>veranschaulicht, dass Alkane aus Kohlenstoff- und Wasserstoffatomen aufgebaut sind. Es bietet sich nun an, dass einige Eigenschaften der Alkane und damit die homologe Reihe behandelt wird.</w:t>
                            </w:r>
                          </w:p>
                        </w:txbxContent>
                      </wps:txbx>
                      <wps:bodyPr rot="0" vert="horz" wrap="square" lIns="91440" tIns="45720" rIns="91440" bIns="45720" anchor="t" anchorCtr="0" upright="1">
                        <a:noAutofit/>
                      </wps:bodyPr>
                    </wps:wsp>
                  </a:graphicData>
                </a:graphic>
              </wp:inline>
            </w:drawing>
          </mc:Choice>
          <mc:Fallback>
            <w:pict>
              <v:shape w14:anchorId="779E1865" id="Text Box 31" o:spid="_x0000_s1027" type="#_x0000_t202" style="width:462.45pt;height:6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" fillcolor="white [3201]" strokecolor="#ed7d31 [3205]" strokeweight="1pt">
                <v:stroke dashstyle="dash"/>
                <v:shadow color="#868686"/>
                <v:textbox>
                  <w:txbxContent>
                    <w:p w:rsidR="00F66E2C" w:rsidRPr="00774885" w:rsidRDefault="00F66E2C" w:rsidP="00F66E2C">
                      <w:pPr>
                        <w:rPr>
                          <w:color w:val="auto"/>
                        </w:rPr>
                      </w:pPr>
                      <w:r w:rsidRPr="00887F74">
                        <w:rPr>
                          <w:b/>
                          <w:color w:val="auto"/>
                        </w:rPr>
                        <w:t>Unterrichtsanschlüsse:</w:t>
                      </w:r>
                      <w:r>
                        <w:rPr>
                          <w:color w:val="auto"/>
                        </w:rPr>
                        <w:t xml:space="preserve"> </w:t>
                      </w:r>
                      <w:r w:rsidRPr="00B5262B">
                        <w:rPr>
                          <w:color w:val="auto"/>
                        </w:rPr>
                        <w:t xml:space="preserve">Der Versuch dient als Einführung in die Alkane und </w:t>
                      </w:r>
                      <w:r>
                        <w:rPr>
                          <w:color w:val="auto"/>
                        </w:rPr>
                        <w:t>veranschaulicht, dass Alkane aus Kohlenstoff- und Wasserstoffatomen aufgebaut sind. Es bietet sich nun an, dass einige Eigenschaften der Alkane und damit die homologe Reihe behandelt wird.</w:t>
                      </w:r>
                    </w:p>
                  </w:txbxContent>
                </v:textbox>
                <w10:anchorlock/>
              </v:shape>
            </w:pict>
          </mc:Fallback>
        </mc:AlternateContent>
      </w:r>
    </w:p>
    <w:p w:rsidR="00F66E2C" w:rsidRDefault="00F66E2C" w:rsidP="00F66E2C">
      <w:pPr>
        <w:spacing w:line="276" w:lineRule="auto"/>
        <w:jc w:val="left"/>
      </w:pPr>
    </w:p>
    <w:sectPr w:rsidR="00F66E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E2C"/>
    <w:rsid w:val="00F66E2C"/>
    <w:rsid w:val="00FD74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AA9C9"/>
  <w15:chartTrackingRefBased/>
  <w15:docId w15:val="{4A0FCD17-A560-4592-8B97-6D65D87D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F66E2C"/>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F66E2C"/>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F66E2C"/>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F66E2C"/>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F66E2C"/>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F66E2C"/>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F66E2C"/>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F66E2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66E2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66E2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66E2C"/>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F66E2C"/>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F66E2C"/>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F66E2C"/>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F66E2C"/>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F66E2C"/>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F66E2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66E2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66E2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66E2C"/>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2577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dc:creator>
  <cp:keywords/>
  <dc:description/>
  <cp:lastModifiedBy>Kristina</cp:lastModifiedBy>
  <cp:revision>1</cp:revision>
  <dcterms:created xsi:type="dcterms:W3CDTF">2016-08-09T12:45:00Z</dcterms:created>
  <dcterms:modified xsi:type="dcterms:W3CDTF">2016-08-09T12:46:00Z</dcterms:modified>
</cp:coreProperties>
</file>