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65" w:rsidRPr="00A27165" w:rsidRDefault="00A27165" w:rsidP="00A27165">
      <w:pPr>
        <w:pStyle w:val="berschrift2"/>
        <w:numPr>
          <w:ilvl w:val="0"/>
          <w:numId w:val="0"/>
        </w:numPr>
        <w:ind w:left="576" w:hanging="576"/>
        <w:rPr>
          <w:rFonts w:ascii="Cambria" w:hAnsi="Cambria"/>
          <w:color w:val="auto"/>
        </w:rPr>
      </w:pPr>
      <w:r w:rsidRPr="00A27165">
        <w:rPr>
          <w:rFonts w:ascii="Cambria" w:hAnsi="Cambria"/>
          <w:noProof/>
          <w:lang w:eastAsia="de-DE"/>
        </w:rPr>
        <mc:AlternateContent>
          <mc:Choice Requires="wps">
            <w:drawing>
              <wp:anchor distT="0" distB="0" distL="114300" distR="114300" simplePos="0" relativeHeight="251659264" behindDoc="0" locked="0" layoutInCell="1" allowOverlap="1" wp14:anchorId="36B69453" wp14:editId="156507DA">
                <wp:simplePos x="0" y="0"/>
                <wp:positionH relativeFrom="column">
                  <wp:posOffset>6985</wp:posOffset>
                </wp:positionH>
                <wp:positionV relativeFrom="paragraph">
                  <wp:posOffset>399415</wp:posOffset>
                </wp:positionV>
                <wp:extent cx="5873115" cy="812800"/>
                <wp:effectExtent l="0" t="0" r="0" b="6350"/>
                <wp:wrapSquare wrapText="bothSides"/>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2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7165" w:rsidRDefault="00A27165" w:rsidP="00A27165">
                            <w:pPr>
                              <w:rPr>
                                <w:color w:val="auto"/>
                              </w:rPr>
                            </w:pPr>
                            <w:r>
                              <w:rPr>
                                <w:color w:val="auto"/>
                              </w:rPr>
                              <w:t xml:space="preserve">Der Versuch verdeutlicht, dass die Dichte von Propan leichter als die Dichte von Luft ist. Er kann genutzt werden um die Eigenschaften von Alkanen zu besprechen. Die </w:t>
                            </w:r>
                            <w:proofErr w:type="spellStart"/>
                            <w:r>
                              <w:rPr>
                                <w:color w:val="auto"/>
                              </w:rPr>
                              <w:t>SuS</w:t>
                            </w:r>
                            <w:proofErr w:type="spellEnd"/>
                            <w:r>
                              <w:rPr>
                                <w:color w:val="auto"/>
                              </w:rPr>
                              <w:t xml:space="preserve"> sollten bereits Kenntnisse darüber haben, was die Dichte ist und wie sie berechnet wird.</w:t>
                            </w:r>
                          </w:p>
                          <w:p w:rsidR="00A27165" w:rsidRPr="00F31EBF" w:rsidRDefault="00A27165" w:rsidP="00A27165">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69453" id="_x0000_t202" coordsize="21600,21600" o:spt="202" path="m,l,21600r21600,l21600,xe">
                <v:stroke joinstyle="miter"/>
                <v:path gradientshapeok="t" o:connecttype="rect"/>
              </v:shapetype>
              <v:shape id="Text Box 60" o:spid="_x0000_s1026" type="#_x0000_t202" style="position:absolute;left:0;text-align:left;margin-left:.55pt;margin-top:31.45pt;width:462.4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" fillcolor="white [3201]" strokecolor="#4472c4 [3208]" strokeweight="1pt">
                <v:stroke dashstyle="dash"/>
                <v:shadow color="#868686"/>
                <v:textbox>
                  <w:txbxContent>
                    <w:p w:rsidR="00A27165" w:rsidRDefault="00A27165" w:rsidP="00A27165">
                      <w:pPr>
                        <w:rPr>
                          <w:color w:val="auto"/>
                        </w:rPr>
                      </w:pPr>
                      <w:r>
                        <w:rPr>
                          <w:color w:val="auto"/>
                        </w:rPr>
                        <w:t xml:space="preserve">Der Versuch verdeutlicht, dass die Dichte von Propan leichter als die Dichte von Luft ist. Er kann genutzt werden um die Eigenschaften von Alkanen zu besprechen. Die </w:t>
                      </w:r>
                      <w:proofErr w:type="spellStart"/>
                      <w:r>
                        <w:rPr>
                          <w:color w:val="auto"/>
                        </w:rPr>
                        <w:t>SuS</w:t>
                      </w:r>
                      <w:proofErr w:type="spellEnd"/>
                      <w:r>
                        <w:rPr>
                          <w:color w:val="auto"/>
                        </w:rPr>
                        <w:t xml:space="preserve"> sollten bereits Kenntnisse darüber haben, was die Dichte ist und wie sie berechnet wird.</w:t>
                      </w:r>
                    </w:p>
                    <w:p w:rsidR="00A27165" w:rsidRPr="00F31EBF" w:rsidRDefault="00A27165" w:rsidP="00A27165">
                      <w:pPr>
                        <w:rPr>
                          <w:color w:val="auto"/>
                        </w:rPr>
                      </w:pPr>
                    </w:p>
                  </w:txbxContent>
                </v:textbox>
                <w10:wrap type="square"/>
              </v:shape>
            </w:pict>
          </mc:Fallback>
        </mc:AlternateContent>
      </w:r>
      <w:bookmarkStart w:id="0" w:name="_Toc458062525"/>
      <w:r w:rsidRPr="00A27165">
        <w:rPr>
          <w:rFonts w:ascii="Cambria" w:hAnsi="Cambria"/>
          <w:color w:val="auto"/>
        </w:rPr>
        <w:t>V3 – Dichte von Alkanen</w:t>
      </w:r>
      <w:bookmarkStart w:id="1" w:name="_GoBack"/>
      <w:bookmarkEnd w:id="0"/>
      <w:bookmarkEnd w:id="1"/>
    </w:p>
    <w:p w:rsidR="00A27165" w:rsidRPr="00487B01" w:rsidRDefault="00A27165" w:rsidP="00A27165">
      <w:pPr>
        <w:pStyle w:val="berschrift2"/>
        <w:numPr>
          <w:ilvl w:val="0"/>
          <w:numId w:val="0"/>
        </w:numPr>
        <w:rPr>
          <w:sz w:val="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27165" w:rsidRPr="009C5E28" w:rsidTr="00BC7BC9">
        <w:tc>
          <w:tcPr>
            <w:tcW w:w="9322" w:type="dxa"/>
            <w:gridSpan w:val="9"/>
            <w:shd w:val="clear" w:color="auto" w:fill="4F81BD"/>
            <w:vAlign w:val="center"/>
          </w:tcPr>
          <w:p w:rsidR="00A27165" w:rsidRPr="00F31EBF" w:rsidRDefault="00A27165" w:rsidP="00BC7BC9">
            <w:pPr>
              <w:spacing w:after="0"/>
              <w:jc w:val="center"/>
              <w:rPr>
                <w:b/>
                <w:bCs/>
                <w:color w:val="FFFFFF" w:themeColor="background1"/>
              </w:rPr>
            </w:pPr>
            <w:r w:rsidRPr="00F31EBF">
              <w:rPr>
                <w:b/>
                <w:bCs/>
                <w:color w:val="FFFFFF" w:themeColor="background1"/>
              </w:rPr>
              <w:t>Gefahrenstoffe</w:t>
            </w:r>
          </w:p>
        </w:tc>
      </w:tr>
      <w:tr w:rsidR="00A27165"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27165" w:rsidRPr="009C5E28" w:rsidRDefault="00A27165" w:rsidP="00BC7BC9">
            <w:pPr>
              <w:spacing w:after="0" w:line="276" w:lineRule="auto"/>
              <w:jc w:val="center"/>
              <w:rPr>
                <w:b/>
                <w:bCs/>
              </w:rPr>
            </w:pPr>
            <w:r>
              <w:rPr>
                <w:sz w:val="20"/>
              </w:rPr>
              <w:t>Propan</w:t>
            </w:r>
          </w:p>
        </w:tc>
        <w:tc>
          <w:tcPr>
            <w:tcW w:w="3177" w:type="dxa"/>
            <w:gridSpan w:val="3"/>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sidRPr="009C5E28">
              <w:rPr>
                <w:sz w:val="20"/>
              </w:rPr>
              <w:t xml:space="preserve">H: </w:t>
            </w:r>
            <w:r>
              <w:rPr>
                <w:sz w:val="20"/>
              </w:rPr>
              <w:t>220-280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27165" w:rsidRPr="009C5E28" w:rsidRDefault="00A27165" w:rsidP="00BC7BC9">
            <w:pPr>
              <w:spacing w:after="0"/>
              <w:jc w:val="center"/>
            </w:pPr>
            <w:r w:rsidRPr="009C5E28">
              <w:rPr>
                <w:sz w:val="20"/>
              </w:rPr>
              <w:t xml:space="preserve">P: </w:t>
            </w:r>
            <w:r>
              <w:rPr>
                <w:sz w:val="20"/>
              </w:rPr>
              <w:t>210-381-403-377</w:t>
            </w:r>
          </w:p>
        </w:tc>
      </w:tr>
      <w:tr w:rsidR="00A27165" w:rsidRPr="009C5E28" w:rsidTr="00BC7BC9">
        <w:tc>
          <w:tcPr>
            <w:tcW w:w="1009" w:type="dxa"/>
            <w:tcBorders>
              <w:top w:val="single" w:sz="8" w:space="0" w:color="4F81BD"/>
              <w:left w:val="single" w:sz="8" w:space="0" w:color="4F81BD"/>
              <w:bottom w:val="single" w:sz="8" w:space="0" w:color="4F81BD"/>
            </w:tcBorders>
            <w:shd w:val="clear" w:color="auto" w:fill="auto"/>
            <w:vAlign w:val="center"/>
          </w:tcPr>
          <w:p w:rsidR="00A27165" w:rsidRPr="009C5E28" w:rsidRDefault="00A27165" w:rsidP="00BC7BC9">
            <w:pPr>
              <w:spacing w:after="0"/>
              <w:jc w:val="center"/>
              <w:rPr>
                <w:b/>
                <w:bCs/>
              </w:rPr>
            </w:pPr>
            <w:r>
              <w:rPr>
                <w:b/>
                <w:noProof/>
                <w:lang w:eastAsia="de-DE"/>
              </w:rPr>
              <w:drawing>
                <wp:inline distT="0" distB="0" distL="0" distR="0" wp14:anchorId="34E221E4" wp14:editId="623AF6E0">
                  <wp:extent cx="504190" cy="504190"/>
                  <wp:effectExtent l="19050" t="0" r="0" b="0"/>
                  <wp:docPr id="17"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Pr>
                <w:noProof/>
                <w:lang w:eastAsia="de-DE"/>
              </w:rPr>
              <w:drawing>
                <wp:inline distT="0" distB="0" distL="0" distR="0" wp14:anchorId="0B1DE16B" wp14:editId="145D8AE2">
                  <wp:extent cx="511200" cy="511200"/>
                  <wp:effectExtent l="19050" t="0" r="3150" b="0"/>
                  <wp:docPr id="18"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Pr>
                <w:noProof/>
                <w:lang w:eastAsia="de-DE"/>
              </w:rPr>
              <w:drawing>
                <wp:inline distT="0" distB="0" distL="0" distR="0" wp14:anchorId="63A5BEBD" wp14:editId="6893532A">
                  <wp:extent cx="511200" cy="511200"/>
                  <wp:effectExtent l="0" t="0" r="0" b="0"/>
                  <wp:docPr id="19"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Pr>
                <w:noProof/>
                <w:lang w:eastAsia="de-DE"/>
              </w:rPr>
              <w:drawing>
                <wp:inline distT="0" distB="0" distL="0" distR="0" wp14:anchorId="76EA71C8" wp14:editId="1B1C0BB5">
                  <wp:extent cx="511200" cy="511200"/>
                  <wp:effectExtent l="19050" t="0" r="3150" b="0"/>
                  <wp:docPr id="20"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Pr>
                <w:noProof/>
                <w:lang w:eastAsia="de-DE"/>
              </w:rPr>
              <w:drawing>
                <wp:inline distT="0" distB="0" distL="0" distR="0" wp14:anchorId="1DF9D095" wp14:editId="13C3B5F4">
                  <wp:extent cx="511200" cy="511200"/>
                  <wp:effectExtent l="19050" t="0" r="3150" b="0"/>
                  <wp:docPr id="15" name="Bild 25" descr="C:\Users\Friedrich.F\Desktop\SVP Chemie 2\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Friedrich.F\Desktop\SVP Chemie 2\Protokolle\Piktogramme\Gasflasche.png"/>
                          <pic:cNvPicPr>
                            <a:picLocks noChangeAspect="1" noChangeArrowheads="1"/>
                          </pic:cNvPicPr>
                        </pic:nvPicPr>
                        <pic:blipFill>
                          <a:blip r:embed="rId9" cstate="print"/>
                          <a:srcRect/>
                          <a:stretch>
                            <a:fillRect/>
                          </a:stretch>
                        </pic:blipFill>
                        <pic:spPr bwMode="auto">
                          <a:xfrm>
                            <a:off x="0" y="0"/>
                            <a:ext cx="511200" cy="5112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Pr>
                <w:noProof/>
                <w:lang w:eastAsia="de-DE"/>
              </w:rPr>
              <w:drawing>
                <wp:inline distT="0" distB="0" distL="0" distR="0" wp14:anchorId="5628129A" wp14:editId="5A5E8A4A">
                  <wp:extent cx="511200" cy="511200"/>
                  <wp:effectExtent l="19050" t="0" r="3150" b="0"/>
                  <wp:docPr id="23"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Pr>
                <w:noProof/>
                <w:lang w:eastAsia="de-DE"/>
              </w:rPr>
              <w:drawing>
                <wp:inline distT="0" distB="0" distL="0" distR="0" wp14:anchorId="77EC2BBF" wp14:editId="3A5729AF">
                  <wp:extent cx="511200" cy="511200"/>
                  <wp:effectExtent l="19050" t="0" r="3150" b="0"/>
                  <wp:docPr id="24"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7165" w:rsidRPr="009C5E28" w:rsidRDefault="00A27165" w:rsidP="00BC7BC9">
            <w:pPr>
              <w:spacing w:after="0"/>
              <w:jc w:val="center"/>
            </w:pPr>
            <w:r w:rsidRPr="00794FC9">
              <w:rPr>
                <w:noProof/>
                <w:lang w:eastAsia="de-DE"/>
              </w:rPr>
              <w:drawing>
                <wp:inline distT="0" distB="0" distL="0" distR="0" wp14:anchorId="3CE6FC9C" wp14:editId="0475C4F1">
                  <wp:extent cx="510320" cy="511200"/>
                  <wp:effectExtent l="19050" t="0" r="4030" b="0"/>
                  <wp:docPr id="4" name="Bild 18"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iedrich.F\Desktop\SVP Chemie\Protokolle\Piktogramme\Reizend.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27165" w:rsidRPr="009C5E28" w:rsidRDefault="00A27165" w:rsidP="00BC7BC9">
            <w:pPr>
              <w:spacing w:after="0"/>
              <w:jc w:val="center"/>
            </w:pPr>
            <w:r>
              <w:rPr>
                <w:noProof/>
                <w:lang w:eastAsia="de-DE"/>
              </w:rPr>
              <w:drawing>
                <wp:inline distT="0" distB="0" distL="0" distR="0" wp14:anchorId="351103FB" wp14:editId="68D27106">
                  <wp:extent cx="511200" cy="511200"/>
                  <wp:effectExtent l="19050" t="0" r="3150" b="0"/>
                  <wp:docPr id="26"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r>
    </w:tbl>
    <w:p w:rsidR="00A27165" w:rsidRDefault="00A27165" w:rsidP="00A27165">
      <w:pPr>
        <w:tabs>
          <w:tab w:val="left" w:pos="1701"/>
          <w:tab w:val="left" w:pos="1985"/>
        </w:tabs>
      </w:pPr>
    </w:p>
    <w:p w:rsidR="00A27165" w:rsidRDefault="00A27165" w:rsidP="00A27165">
      <w:pPr>
        <w:tabs>
          <w:tab w:val="left" w:pos="1701"/>
          <w:tab w:val="left" w:pos="1985"/>
        </w:tabs>
        <w:ind w:left="1980" w:hanging="1980"/>
      </w:pPr>
      <w:r>
        <w:t xml:space="preserve">Materialien: </w:t>
      </w:r>
      <w:r>
        <w:tab/>
      </w:r>
      <w:r>
        <w:tab/>
        <w:t>2 Standzylinder, 2 Uhrgläser, Stativ mit Klemmen, Feuerzeug, Brennspan, feuerfeste Unterlage</w:t>
      </w:r>
    </w:p>
    <w:p w:rsidR="00A27165" w:rsidRPr="00ED07C2" w:rsidRDefault="00A27165" w:rsidP="00A27165">
      <w:pPr>
        <w:tabs>
          <w:tab w:val="left" w:pos="1701"/>
          <w:tab w:val="left" w:pos="1985"/>
        </w:tabs>
        <w:ind w:left="1980" w:hanging="1980"/>
      </w:pPr>
      <w:r>
        <w:t>Chemikalien:</w:t>
      </w:r>
      <w:r>
        <w:tab/>
      </w:r>
      <w:r>
        <w:tab/>
        <w:t>Propan aus dem Hausgas-Anschluss</w:t>
      </w:r>
    </w:p>
    <w:p w:rsidR="00A27165" w:rsidRDefault="00A27165" w:rsidP="00A27165">
      <w:pPr>
        <w:tabs>
          <w:tab w:val="left" w:pos="1701"/>
          <w:tab w:val="left" w:pos="1985"/>
          <w:tab w:val="left" w:pos="2124"/>
          <w:tab w:val="center" w:pos="4536"/>
        </w:tabs>
        <w:ind w:left="1980" w:hanging="1980"/>
      </w:pPr>
      <w:r>
        <w:t xml:space="preserve">Durchführung: </w:t>
      </w:r>
      <w:r>
        <w:tab/>
      </w:r>
      <w:r>
        <w:tab/>
      </w:r>
      <w:r>
        <w:tab/>
        <w:t xml:space="preserve">Zwei Standzylinder werden </w:t>
      </w:r>
      <w:r w:rsidRPr="00B261F8">
        <w:rPr>
          <w:u w:val="single"/>
        </w:rPr>
        <w:t>unter dem Abzug</w:t>
      </w:r>
      <w:r>
        <w:t xml:space="preserve"> mit dem Gas aus der Gasleitung befüllt, dabei sollte die Öffnung des Standzylinders nach oben zeigen. Nach dem Befüllen werden die Standzylinder mit Uhrgläsern geschlossen. Einer der Standzylinder wird mit der Öffnung nach unten an einem Stativ befestigt. Beide Standzylinder werden gleichzeitig geöffnet. Nach ca. 2 min wird ein Brennspann an beide Öffnungen gehalten (siehe Abbildung 4).</w:t>
      </w:r>
    </w:p>
    <w:p w:rsidR="00A27165" w:rsidRDefault="00A27165" w:rsidP="00A27165">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r>
        <w:t>Beobachtung:</w:t>
      </w:r>
      <w:r>
        <w:tab/>
      </w:r>
      <w:r>
        <w:tab/>
        <w:t>Das Gas im Standzylinder, welcher nach unten geöffnet ist, entzündet sich. In dem anderen Standzylinder entzündet sich kein Gas.</w:t>
      </w:r>
    </w:p>
    <w:p w:rsidR="00A27165" w:rsidRDefault="00A27165" w:rsidP="00A27165">
      <w:pPr>
        <w:tabs>
          <w:tab w:val="left" w:pos="1701"/>
          <w:tab w:val="left" w:pos="1985"/>
          <w:tab w:val="left" w:pos="2124"/>
          <w:tab w:val="left" w:pos="2837"/>
          <w:tab w:val="left" w:pos="3540"/>
          <w:tab w:val="left" w:pos="4248"/>
          <w:tab w:val="left" w:pos="4956"/>
          <w:tab w:val="left" w:pos="5664"/>
          <w:tab w:val="left" w:pos="6372"/>
          <w:tab w:val="left" w:pos="7080"/>
        </w:tabs>
        <w:ind w:left="1980" w:hanging="1980"/>
        <w:jc w:val="center"/>
      </w:pPr>
      <w:r>
        <w:rPr>
          <w:noProof/>
          <w:lang w:eastAsia="de-DE"/>
        </w:rPr>
        <w:drawing>
          <wp:inline distT="0" distB="0" distL="0" distR="0" wp14:anchorId="6C46DFE6" wp14:editId="760869E5">
            <wp:extent cx="1955239" cy="2048351"/>
            <wp:effectExtent l="19050" t="0" r="6911"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960854" cy="2054234"/>
                    </a:xfrm>
                    <a:prstGeom prst="rect">
                      <a:avLst/>
                    </a:prstGeom>
                    <a:noFill/>
                    <a:ln w="9525">
                      <a:noFill/>
                      <a:miter lim="800000"/>
                      <a:headEnd/>
                      <a:tailEnd/>
                    </a:ln>
                  </pic:spPr>
                </pic:pic>
              </a:graphicData>
            </a:graphic>
          </wp:inline>
        </w:drawing>
      </w:r>
    </w:p>
    <w:p w:rsidR="00A27165" w:rsidRPr="00AC0508" w:rsidRDefault="00A27165" w:rsidP="00A27165">
      <w:pPr>
        <w:tabs>
          <w:tab w:val="left" w:pos="1701"/>
          <w:tab w:val="left" w:pos="1985"/>
        </w:tabs>
        <w:jc w:val="center"/>
        <w:rPr>
          <w:sz w:val="18"/>
        </w:rPr>
      </w:pPr>
      <w:r w:rsidRPr="00AC0508">
        <w:rPr>
          <w:sz w:val="18"/>
        </w:rPr>
        <w:t xml:space="preserve">Abbildung 4 - </w:t>
      </w:r>
      <w:r w:rsidRPr="00AC0508">
        <w:rPr>
          <w:noProof/>
          <w:sz w:val="18"/>
        </w:rPr>
        <w:t xml:space="preserve">Links: </w:t>
      </w:r>
      <w:r>
        <w:rPr>
          <w:noProof/>
          <w:sz w:val="18"/>
        </w:rPr>
        <w:t>Eisenwolle vor der V</w:t>
      </w:r>
      <w:r w:rsidRPr="00AC0508">
        <w:rPr>
          <w:noProof/>
          <w:sz w:val="18"/>
        </w:rPr>
        <w:t>erbrennung. Rechts: Eisenwolle nach der Verbrennung.</w:t>
      </w:r>
    </w:p>
    <w:p w:rsidR="00A27165" w:rsidRDefault="00A27165" w:rsidP="00A27165">
      <w:pPr>
        <w:tabs>
          <w:tab w:val="left" w:pos="1701"/>
          <w:tab w:val="left" w:pos="1985"/>
        </w:tabs>
        <w:ind w:left="1985" w:hanging="1985"/>
      </w:pPr>
      <w:r>
        <w:lastRenderedPageBreak/>
        <w:t>Deutung:</w:t>
      </w:r>
      <w:r>
        <w:tab/>
      </w:r>
      <w:r>
        <w:tab/>
        <w:t>Die Beobachtungen machen deutlich, dass das gasförmige Propan eine kleinere Dichte als die Luft besitzt. Es entweicht beim geöffneten Standzylinder, dessen Öffnung nach oben zeigt. Bei dem Standzylinder, dessen Öffnung nach unten zeigt, kann Propan nicht entweichen und bleibt daher im Standzylinder enthalten.</w:t>
      </w:r>
    </w:p>
    <w:p w:rsidR="00A27165" w:rsidRDefault="00A27165" w:rsidP="00A27165">
      <w:pPr>
        <w:tabs>
          <w:tab w:val="left" w:pos="1701"/>
          <w:tab w:val="left" w:pos="1985"/>
        </w:tabs>
        <w:ind w:left="1985" w:hanging="1985"/>
      </w:pPr>
      <w:r>
        <w:tab/>
      </w:r>
      <w:r>
        <w:tab/>
        <w:t xml:space="preserve">Literaturwerte der Dichten: </w:t>
      </w:r>
    </w:p>
    <w:p w:rsidR="00A27165" w:rsidRPr="002D68A0" w:rsidRDefault="00A27165" w:rsidP="00A27165">
      <w:pPr>
        <w:tabs>
          <w:tab w:val="left" w:pos="1701"/>
          <w:tab w:val="left" w:pos="1985"/>
        </w:tabs>
        <w:ind w:left="1985" w:hanging="1985"/>
      </w:pPr>
      <w:r>
        <w:tab/>
      </w:r>
      <w:r>
        <w:tab/>
      </w:r>
      <w:r w:rsidRPr="002D68A0">
        <w:t xml:space="preserve">(1) </w:t>
      </w:r>
      <m:oMath>
        <m:r>
          <m:rPr>
            <m:sty m:val="p"/>
          </m:rPr>
          <w:rPr>
            <w:rFonts w:ascii="Cambria Math" w:hAnsi="Cambria Math"/>
          </w:rPr>
          <m:t>ρ</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8</m:t>
                </m:r>
              </m:sub>
            </m:sSub>
          </m:e>
        </m:d>
        <m:r>
          <m:rPr>
            <m:sty m:val="p"/>
          </m:rPr>
          <w:rPr>
            <w:rFonts w:ascii="Cambria Math" w:hAnsi="Cambria Math"/>
          </w:rPr>
          <m:t xml:space="preserve">=0,7175 </m:t>
        </m:r>
        <m:f>
          <m:fPr>
            <m:ctrlPr>
              <w:rPr>
                <w:rFonts w:ascii="Cambria Math" w:hAnsi="Cambria Math"/>
              </w:rPr>
            </m:ctrlPr>
          </m:fPr>
          <m:num>
            <m:r>
              <m:rPr>
                <m:sty m:val="p"/>
              </m:rPr>
              <w:rPr>
                <w:rFonts w:ascii="Cambria Math" w:hAnsi="Cambria Math"/>
              </w:rPr>
              <m:t>kg</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den>
        </m:f>
      </m:oMath>
    </w:p>
    <w:p w:rsidR="00A27165" w:rsidRPr="002D68A0" w:rsidRDefault="00A27165" w:rsidP="00A27165">
      <w:pPr>
        <w:tabs>
          <w:tab w:val="left" w:pos="1701"/>
          <w:tab w:val="left" w:pos="1985"/>
        </w:tabs>
        <w:ind w:left="1985" w:hanging="1985"/>
      </w:pPr>
      <w:r w:rsidRPr="002D68A0">
        <w:tab/>
      </w:r>
      <w:r w:rsidRPr="002D68A0">
        <w:tab/>
        <w:t xml:space="preserve">(2) </w:t>
      </w:r>
      <m:oMath>
        <m:r>
          <m:rPr>
            <m:sty m:val="p"/>
          </m:rPr>
          <w:rPr>
            <w:rFonts w:ascii="Cambria Math" w:hAnsi="Cambria Math"/>
          </w:rPr>
          <m:t>ρ</m:t>
        </m:r>
        <m:d>
          <m:dPr>
            <m:ctrlPr>
              <w:rPr>
                <w:rFonts w:ascii="Cambria Math" w:hAnsi="Cambria Math"/>
              </w:rPr>
            </m:ctrlPr>
          </m:dPr>
          <m:e>
            <m:r>
              <m:rPr>
                <m:sty m:val="p"/>
              </m:rPr>
              <w:rPr>
                <w:rFonts w:ascii="Cambria Math" w:hAnsi="Cambria Math"/>
              </w:rPr>
              <m:t>Luft</m:t>
            </m:r>
          </m:e>
        </m:d>
        <m:r>
          <m:rPr>
            <m:sty m:val="p"/>
          </m:rPr>
          <w:rPr>
            <w:rFonts w:ascii="Cambria Math" w:hAnsi="Cambria Math"/>
          </w:rPr>
          <m:t xml:space="preserve">=1,293 </m:t>
        </m:r>
        <m:f>
          <m:fPr>
            <m:ctrlPr>
              <w:rPr>
                <w:rFonts w:ascii="Cambria Math" w:hAnsi="Cambria Math"/>
              </w:rPr>
            </m:ctrlPr>
          </m:fPr>
          <m:num>
            <m:r>
              <m:rPr>
                <m:sty m:val="p"/>
              </m:rPr>
              <w:rPr>
                <w:rFonts w:ascii="Cambria Math" w:hAnsi="Cambria Math"/>
              </w:rPr>
              <m:t>kg</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den>
        </m:f>
      </m:oMath>
    </w:p>
    <w:p w:rsidR="00A27165" w:rsidRDefault="00A27165" w:rsidP="00A27165">
      <w:pPr>
        <w:tabs>
          <w:tab w:val="left" w:pos="1985"/>
        </w:tabs>
        <w:ind w:left="1985" w:hanging="1985"/>
      </w:pPr>
      <w:r>
        <w:t>Entsorgung:</w:t>
      </w:r>
      <w:r>
        <w:tab/>
        <w:t>Das Gas wird verbrannt oder entweicht im Abzug.</w:t>
      </w:r>
    </w:p>
    <w:p w:rsidR="00A27165" w:rsidRPr="00B261F8" w:rsidRDefault="00A27165" w:rsidP="00A27165">
      <w:pPr>
        <w:spacing w:line="276" w:lineRule="auto"/>
        <w:ind w:left="1980" w:hanging="1980"/>
        <w:jc w:val="left"/>
        <w:rPr>
          <w:rFonts w:asciiTheme="majorHAnsi" w:eastAsiaTheme="majorEastAsia" w:hAnsiTheme="majorHAnsi" w:cstheme="majorBidi"/>
          <w:b/>
          <w:bCs/>
          <w:sz w:val="28"/>
          <w:szCs w:val="28"/>
        </w:rPr>
      </w:pPr>
      <w:r>
        <w:t>Literatur:</w:t>
      </w:r>
      <w:r>
        <w:tab/>
      </w:r>
      <w:proofErr w:type="spellStart"/>
      <w:r w:rsidRPr="001640AB">
        <w:t>Keune</w:t>
      </w:r>
      <w:proofErr w:type="spellEnd"/>
      <w:r w:rsidRPr="001640AB">
        <w:t xml:space="preserve">, H., Just, M. (2009). Chemische Schulexperimente. Band 2. Organische Chemie. Berlin: </w:t>
      </w:r>
      <w:r>
        <w:t xml:space="preserve"> </w:t>
      </w:r>
      <w:r w:rsidRPr="001640AB">
        <w:t>Cornelsen Verlag.</w:t>
      </w:r>
    </w:p>
    <w:p w:rsidR="00A27165" w:rsidRDefault="00A27165" w:rsidP="00A27165">
      <w:pPr>
        <w:tabs>
          <w:tab w:val="left" w:pos="1701"/>
          <w:tab w:val="left" w:pos="1985"/>
        </w:tabs>
      </w:pPr>
      <w:r>
        <w:rPr>
          <w:noProof/>
          <w:lang w:eastAsia="de-DE"/>
        </w:rPr>
        <mc:AlternateContent>
          <mc:Choice Requires="wps">
            <w:drawing>
              <wp:inline distT="0" distB="0" distL="0" distR="0" wp14:anchorId="3BD37366" wp14:editId="39FED79D">
                <wp:extent cx="5873115" cy="869950"/>
                <wp:effectExtent l="13970" t="10795" r="8890" b="1460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699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7165" w:rsidRPr="00F31EBF" w:rsidRDefault="00A27165" w:rsidP="00A27165">
                            <w:pPr>
                              <w:rPr>
                                <w:color w:val="auto"/>
                              </w:rPr>
                            </w:pPr>
                            <w:r>
                              <w:rPr>
                                <w:b/>
                                <w:color w:val="auto"/>
                              </w:rPr>
                              <w:t xml:space="preserve">Unterrichtsanschlüsse: </w:t>
                            </w:r>
                            <w:r>
                              <w:rPr>
                                <w:color w:val="auto"/>
                              </w:rPr>
                              <w:t>Nach dem Versuch kann vertiefend auf die Berechnung der Dichte eingegangen werden. Es können allerdings andere Eigenschaften von Alkanen, wie z.B. die Brennbarkeit oder die Siedepunkte der homologen Reihe der Alkane, behandelt.</w:t>
                            </w:r>
                          </w:p>
                        </w:txbxContent>
                      </wps:txbx>
                      <wps:bodyPr rot="0" vert="horz" wrap="square" lIns="91440" tIns="45720" rIns="91440" bIns="45720" anchor="t" anchorCtr="0" upright="1">
                        <a:noAutofit/>
                      </wps:bodyPr>
                    </wps:wsp>
                  </a:graphicData>
                </a:graphic>
              </wp:inline>
            </w:drawing>
          </mc:Choice>
          <mc:Fallback>
            <w:pict>
              <v:shape w14:anchorId="3BD37366" id="Text Box 30" o:spid="_x0000_s1027" type="#_x0000_t202" style="width:462.4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" fillcolor="white [3201]" strokecolor="#ed7d31 [3205]" strokeweight="1pt">
                <v:stroke dashstyle="dash"/>
                <v:shadow color="#868686"/>
                <v:textbox>
                  <w:txbxContent>
                    <w:p w:rsidR="00A27165" w:rsidRPr="00F31EBF" w:rsidRDefault="00A27165" w:rsidP="00A27165">
                      <w:pPr>
                        <w:rPr>
                          <w:color w:val="auto"/>
                        </w:rPr>
                      </w:pPr>
                      <w:r>
                        <w:rPr>
                          <w:b/>
                          <w:color w:val="auto"/>
                        </w:rPr>
                        <w:t xml:space="preserve">Unterrichtsanschlüsse: </w:t>
                      </w:r>
                      <w:r>
                        <w:rPr>
                          <w:color w:val="auto"/>
                        </w:rPr>
                        <w:t>Nach dem Versuch kann vertiefend auf die Berechnung der Dichte eingegangen werden. Es können allerdings andere Eigenschaften von Alkanen, wie z.B. die Brennbarkeit oder die Siedepunkte der homologen Reihe der Alkane, behandelt.</w:t>
                      </w:r>
                    </w:p>
                  </w:txbxContent>
                </v:textbox>
                <w10:anchorlock/>
              </v:shape>
            </w:pict>
          </mc:Fallback>
        </mc:AlternateContent>
      </w:r>
    </w:p>
    <w:p w:rsidR="00FD742B" w:rsidRDefault="00FD742B" w:rsidP="00A27165">
      <w:pPr>
        <w:spacing w:line="276" w:lineRule="auto"/>
        <w:jc w:val="left"/>
      </w:pPr>
    </w:p>
    <w:sectPr w:rsidR="00FD74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65"/>
    <w:rsid w:val="00A27165"/>
    <w:rsid w:val="00FD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4398"/>
  <w15:chartTrackingRefBased/>
  <w15:docId w15:val="{88ECF932-356F-4FF3-990C-685E2C0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2716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2716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2716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2716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2716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A2716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A2716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A2716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2716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2716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716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A2716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A2716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A2716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A2716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2716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27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27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2716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2016-08-09T12:46:00Z</dcterms:created>
  <dcterms:modified xsi:type="dcterms:W3CDTF">2016-08-09T12:48:00Z</dcterms:modified>
</cp:coreProperties>
</file>