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0C7" w:rsidRPr="000F00C7" w:rsidRDefault="000F00C7" w:rsidP="000F00C7">
      <w:pPr>
        <w:pStyle w:val="berschrift2"/>
        <w:numPr>
          <w:ilvl w:val="0"/>
          <w:numId w:val="0"/>
        </w:numPr>
        <w:ind w:left="576" w:hanging="576"/>
        <w:rPr>
          <w:rFonts w:ascii="Cambria" w:hAnsi="Cambria"/>
        </w:rPr>
      </w:pPr>
      <w:r w:rsidRPr="000F00C7">
        <w:rPr>
          <w:rFonts w:ascii="Cambria" w:hAnsi="Cambria"/>
          <w:noProof/>
          <w:lang w:eastAsia="de-DE"/>
        </w:rPr>
        <mc:AlternateContent>
          <mc:Choice Requires="wps">
            <w:drawing>
              <wp:anchor distT="0" distB="0" distL="114300" distR="114300" simplePos="0" relativeHeight="251659264" behindDoc="0" locked="0" layoutInCell="1" allowOverlap="1" wp14:anchorId="2D11F078" wp14:editId="2442E9A3">
                <wp:simplePos x="0" y="0"/>
                <wp:positionH relativeFrom="column">
                  <wp:posOffset>-1270</wp:posOffset>
                </wp:positionH>
                <wp:positionV relativeFrom="paragraph">
                  <wp:posOffset>415290</wp:posOffset>
                </wp:positionV>
                <wp:extent cx="5873115" cy="814070"/>
                <wp:effectExtent l="0" t="0" r="0" b="5080"/>
                <wp:wrapSquare wrapText="bothSides"/>
                <wp:docPr id="6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140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00C7" w:rsidRPr="000F00C7" w:rsidRDefault="000F00C7" w:rsidP="000F00C7">
                            <w:r w:rsidRPr="000F00C7">
                              <w:t xml:space="preserve">In diesem Versuch werden die Produkte nachgewiesen, die bei einer Verbrennungsreaktion von Alkanen mit Sauerstoff entstehen. Die </w:t>
                            </w:r>
                            <w:proofErr w:type="spellStart"/>
                            <w:r w:rsidRPr="000F00C7">
                              <w:t>SuS</w:t>
                            </w:r>
                            <w:proofErr w:type="spellEnd"/>
                            <w:r w:rsidRPr="000F00C7">
                              <w:t xml:space="preserve"> sollten bereits die Nachweisreaktion von Kohlenstoffdioxid mit einer Calciumhydroxid-Lösung kennen.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11F078" id="_x0000_t202" coordsize="21600,21600" o:spt="202" path="m,l,21600r21600,l21600,xe">
                <v:stroke joinstyle="miter"/>
                <v:path gradientshapeok="t" o:connecttype="rect"/>
              </v:shapetype>
              <v:shape id="Text Box 60" o:spid="_x0000_s1026" type="#_x0000_t202" style="position:absolute;left:0;text-align:left;margin-left:-.1pt;margin-top:32.7pt;width:462.45pt;height: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" fillcolor="white [3201]" strokecolor="#4472c4 [3208]" strokeweight="1pt">
                <v:stroke dashstyle="dash"/>
                <v:shadow color="#868686"/>
                <v:textbox>
                  <w:txbxContent>
                    <w:p w:rsidR="000F00C7" w:rsidRPr="000F00C7" w:rsidRDefault="000F00C7" w:rsidP="000F00C7">
                      <w:r w:rsidRPr="000F00C7">
                        <w:t xml:space="preserve">In diesem Versuch werden die Produkte nachgewiesen, die bei einer Verbrennungsreaktion von Alkanen mit Sauerstoff entstehen. Die </w:t>
                      </w:r>
                      <w:proofErr w:type="spellStart"/>
                      <w:r w:rsidRPr="000F00C7">
                        <w:t>SuS</w:t>
                      </w:r>
                      <w:proofErr w:type="spellEnd"/>
                      <w:r w:rsidRPr="000F00C7">
                        <w:t xml:space="preserve"> sollten bereits die Nachweisreaktion von Kohlenstoffdioxid mit einer Calciumhydroxid-Lösung kennen.</w:t>
                      </w:r>
                    </w:p>
                  </w:txbxContent>
                </v:textbox>
                <w10:wrap type="square"/>
              </v:shape>
            </w:pict>
          </mc:Fallback>
        </mc:AlternateContent>
      </w:r>
      <w:bookmarkStart w:id="0" w:name="_Toc457937633"/>
      <w:r w:rsidRPr="000F00C7">
        <w:rPr>
          <w:rFonts w:ascii="Cambria" w:hAnsi="Cambria"/>
        </w:rPr>
        <w:t xml:space="preserve">V1 – </w:t>
      </w:r>
      <w:r w:rsidRPr="000F00C7">
        <w:rPr>
          <w:rFonts w:ascii="Cambria" w:hAnsi="Cambria"/>
          <w:color w:val="auto"/>
        </w:rPr>
        <w:t>Verbrennungsprodukte von Alkanen</w:t>
      </w:r>
      <w:bookmarkEnd w:id="0"/>
    </w:p>
    <w:p w:rsidR="000F00C7" w:rsidRDefault="000F00C7" w:rsidP="000F00C7">
      <w:pPr>
        <w:pStyle w:val="berschrift2"/>
        <w:numPr>
          <w:ilvl w:val="0"/>
          <w:numId w:val="0"/>
        </w:numPr>
      </w:pPr>
    </w:p>
    <w:tbl>
      <w:tblPr>
        <w:tblW w:w="931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8"/>
        <w:gridCol w:w="1008"/>
        <w:gridCol w:w="1174"/>
        <w:gridCol w:w="992"/>
        <w:gridCol w:w="974"/>
        <w:gridCol w:w="1008"/>
        <w:gridCol w:w="1133"/>
      </w:tblGrid>
      <w:tr w:rsidR="000F00C7" w:rsidTr="00723617">
        <w:tc>
          <w:tcPr>
            <w:tcW w:w="9315" w:type="dxa"/>
            <w:gridSpan w:val="9"/>
            <w:tcBorders>
              <w:top w:val="single" w:sz="8" w:space="0" w:color="4F81BD"/>
              <w:left w:val="single" w:sz="8" w:space="0" w:color="4F81BD"/>
              <w:bottom w:val="nil"/>
              <w:right w:val="single" w:sz="8" w:space="0" w:color="4F81BD"/>
            </w:tcBorders>
            <w:shd w:val="clear" w:color="auto" w:fill="4F81BD"/>
            <w:vAlign w:val="center"/>
            <w:hideMark/>
          </w:tcPr>
          <w:p w:rsidR="000F00C7" w:rsidRDefault="000F00C7" w:rsidP="00723617">
            <w:pPr>
              <w:spacing w:after="0"/>
              <w:jc w:val="center"/>
              <w:rPr>
                <w:b/>
                <w:bCs/>
                <w:color w:val="FFFFFF" w:themeColor="background1"/>
              </w:rPr>
            </w:pPr>
            <w:r>
              <w:rPr>
                <w:b/>
                <w:bCs/>
                <w:color w:val="FFFFFF" w:themeColor="background1"/>
              </w:rPr>
              <w:t>Gefahrenstoffe</w:t>
            </w:r>
          </w:p>
        </w:tc>
      </w:tr>
      <w:tr w:rsidR="000F00C7" w:rsidTr="00723617">
        <w:trPr>
          <w:trHeight w:val="437"/>
        </w:trPr>
        <w:tc>
          <w:tcPr>
            <w:tcW w:w="3026" w:type="dxa"/>
            <w:gridSpan w:val="3"/>
            <w:tcBorders>
              <w:top w:val="single" w:sz="8" w:space="0" w:color="4F81BD"/>
              <w:left w:val="single" w:sz="8" w:space="0" w:color="4F81BD"/>
              <w:bottom w:val="single" w:sz="8" w:space="0" w:color="4F81BD"/>
              <w:right w:val="nil"/>
            </w:tcBorders>
            <w:vAlign w:val="center"/>
            <w:hideMark/>
          </w:tcPr>
          <w:p w:rsidR="000F00C7" w:rsidRDefault="000F00C7" w:rsidP="00723617">
            <w:pPr>
              <w:spacing w:after="0"/>
              <w:jc w:val="center"/>
              <w:rPr>
                <w:b/>
                <w:bCs/>
              </w:rPr>
            </w:pPr>
            <w:r w:rsidRPr="00885578">
              <w:t>Propan</w:t>
            </w:r>
          </w:p>
        </w:tc>
        <w:tc>
          <w:tcPr>
            <w:tcW w:w="3174" w:type="dxa"/>
            <w:gridSpan w:val="3"/>
            <w:tcBorders>
              <w:top w:val="single" w:sz="8" w:space="0" w:color="4F81BD"/>
              <w:left w:val="nil"/>
              <w:bottom w:val="single" w:sz="8" w:space="0" w:color="4F81BD"/>
              <w:right w:val="nil"/>
            </w:tcBorders>
            <w:vAlign w:val="center"/>
            <w:hideMark/>
          </w:tcPr>
          <w:p w:rsidR="000F00C7" w:rsidRDefault="000F00C7" w:rsidP="00723617">
            <w:pPr>
              <w:spacing w:after="0"/>
              <w:jc w:val="center"/>
            </w:pPr>
            <w:r>
              <w:t>H: 220-280</w:t>
            </w:r>
          </w:p>
        </w:tc>
        <w:tc>
          <w:tcPr>
            <w:tcW w:w="3115" w:type="dxa"/>
            <w:gridSpan w:val="3"/>
            <w:tcBorders>
              <w:top w:val="single" w:sz="8" w:space="0" w:color="4F81BD"/>
              <w:left w:val="nil"/>
              <w:bottom w:val="single" w:sz="8" w:space="0" w:color="4F81BD"/>
              <w:right w:val="single" w:sz="8" w:space="0" w:color="4F81BD"/>
            </w:tcBorders>
            <w:vAlign w:val="center"/>
            <w:hideMark/>
          </w:tcPr>
          <w:p w:rsidR="000F00C7" w:rsidRDefault="000F00C7" w:rsidP="00723617">
            <w:pPr>
              <w:spacing w:after="0"/>
              <w:jc w:val="center"/>
            </w:pPr>
            <w:r>
              <w:t>P: 210-381-403-377</w:t>
            </w:r>
          </w:p>
        </w:tc>
      </w:tr>
      <w:tr w:rsidR="000F00C7" w:rsidTr="00723617">
        <w:trPr>
          <w:trHeight w:val="437"/>
        </w:trPr>
        <w:tc>
          <w:tcPr>
            <w:tcW w:w="3026" w:type="dxa"/>
            <w:gridSpan w:val="3"/>
            <w:tcBorders>
              <w:top w:val="single" w:sz="8" w:space="0" w:color="4F81BD"/>
              <w:left w:val="single" w:sz="8" w:space="0" w:color="4F81BD"/>
              <w:bottom w:val="single" w:sz="8" w:space="0" w:color="4F81BD"/>
              <w:right w:val="nil"/>
            </w:tcBorders>
            <w:vAlign w:val="center"/>
            <w:hideMark/>
          </w:tcPr>
          <w:p w:rsidR="000F00C7" w:rsidRPr="000F00C7" w:rsidRDefault="000F00C7" w:rsidP="00723617">
            <w:pPr>
              <w:jc w:val="center"/>
              <w:rPr>
                <w:bCs/>
              </w:rPr>
            </w:pPr>
            <w:r w:rsidRPr="000F00C7">
              <w:rPr>
                <w:bCs/>
              </w:rPr>
              <w:t>Calciumhydroxid-Lösung</w:t>
            </w:r>
          </w:p>
        </w:tc>
        <w:tc>
          <w:tcPr>
            <w:tcW w:w="3174" w:type="dxa"/>
            <w:gridSpan w:val="3"/>
            <w:tcBorders>
              <w:top w:val="single" w:sz="8" w:space="0" w:color="4F81BD"/>
              <w:left w:val="nil"/>
              <w:bottom w:val="single" w:sz="8" w:space="0" w:color="4F81BD"/>
              <w:right w:val="nil"/>
            </w:tcBorders>
            <w:vAlign w:val="center"/>
            <w:hideMark/>
          </w:tcPr>
          <w:p w:rsidR="000F00C7" w:rsidRPr="000F00C7" w:rsidRDefault="000F00C7" w:rsidP="00723617">
            <w:pPr>
              <w:jc w:val="center"/>
              <w:rPr>
                <w:bCs/>
              </w:rPr>
            </w:pPr>
            <w:r w:rsidRPr="000F00C7">
              <w:rPr>
                <w:bCs/>
              </w:rPr>
              <w:t>H: 315-318-335</w:t>
            </w:r>
          </w:p>
        </w:tc>
        <w:tc>
          <w:tcPr>
            <w:tcW w:w="3115" w:type="dxa"/>
            <w:gridSpan w:val="3"/>
            <w:tcBorders>
              <w:top w:val="single" w:sz="8" w:space="0" w:color="4F81BD"/>
              <w:left w:val="nil"/>
              <w:bottom w:val="single" w:sz="8" w:space="0" w:color="4F81BD"/>
              <w:right w:val="single" w:sz="8" w:space="0" w:color="4F81BD"/>
            </w:tcBorders>
            <w:vAlign w:val="center"/>
            <w:hideMark/>
          </w:tcPr>
          <w:p w:rsidR="000F00C7" w:rsidRPr="000F00C7" w:rsidRDefault="000F00C7" w:rsidP="00723617">
            <w:pPr>
              <w:ind w:left="317" w:hanging="284"/>
              <w:jc w:val="center"/>
              <w:rPr>
                <w:bCs/>
              </w:rPr>
            </w:pPr>
            <w:r w:rsidRPr="000F00C7">
              <w:rPr>
                <w:bCs/>
              </w:rPr>
              <w:t>P: 260-280-305+351+338</w:t>
            </w:r>
          </w:p>
        </w:tc>
      </w:tr>
      <w:tr w:rsidR="000F00C7" w:rsidTr="00723617">
        <w:trPr>
          <w:trHeight w:val="437"/>
        </w:trPr>
        <w:tc>
          <w:tcPr>
            <w:tcW w:w="3026" w:type="dxa"/>
            <w:gridSpan w:val="3"/>
            <w:tcBorders>
              <w:top w:val="single" w:sz="8" w:space="0" w:color="4F81BD"/>
              <w:left w:val="single" w:sz="8" w:space="0" w:color="4F81BD"/>
              <w:bottom w:val="single" w:sz="8" w:space="0" w:color="4F81BD"/>
              <w:right w:val="nil"/>
            </w:tcBorders>
            <w:vAlign w:val="center"/>
            <w:hideMark/>
          </w:tcPr>
          <w:p w:rsidR="000F00C7" w:rsidRPr="000F00C7" w:rsidRDefault="000F00C7" w:rsidP="00723617">
            <w:pPr>
              <w:jc w:val="center"/>
              <w:rPr>
                <w:bCs/>
              </w:rPr>
            </w:pPr>
            <w:r w:rsidRPr="000F00C7">
              <w:rPr>
                <w:bCs/>
              </w:rPr>
              <w:t>Calciumcarbonat</w:t>
            </w:r>
          </w:p>
        </w:tc>
        <w:tc>
          <w:tcPr>
            <w:tcW w:w="3174" w:type="dxa"/>
            <w:gridSpan w:val="3"/>
            <w:tcBorders>
              <w:top w:val="single" w:sz="8" w:space="0" w:color="4F81BD"/>
              <w:left w:val="nil"/>
              <w:bottom w:val="single" w:sz="8" w:space="0" w:color="4F81BD"/>
              <w:right w:val="nil"/>
            </w:tcBorders>
            <w:vAlign w:val="center"/>
            <w:hideMark/>
          </w:tcPr>
          <w:p w:rsidR="000F00C7" w:rsidRPr="000F00C7" w:rsidRDefault="000F00C7" w:rsidP="00723617">
            <w:pPr>
              <w:jc w:val="center"/>
              <w:rPr>
                <w:bCs/>
              </w:rPr>
            </w:pPr>
            <w:r w:rsidRPr="000F00C7">
              <w:rPr>
                <w:bCs/>
              </w:rPr>
              <w:t>H: -</w:t>
            </w:r>
          </w:p>
        </w:tc>
        <w:tc>
          <w:tcPr>
            <w:tcW w:w="3115" w:type="dxa"/>
            <w:gridSpan w:val="3"/>
            <w:tcBorders>
              <w:top w:val="single" w:sz="8" w:space="0" w:color="4F81BD"/>
              <w:left w:val="nil"/>
              <w:bottom w:val="single" w:sz="8" w:space="0" w:color="4F81BD"/>
              <w:right w:val="single" w:sz="8" w:space="0" w:color="4F81BD"/>
            </w:tcBorders>
            <w:vAlign w:val="center"/>
            <w:hideMark/>
          </w:tcPr>
          <w:p w:rsidR="000F00C7" w:rsidRPr="000F00C7" w:rsidRDefault="000F00C7" w:rsidP="00723617">
            <w:pPr>
              <w:ind w:left="317" w:hanging="284"/>
              <w:jc w:val="center"/>
              <w:rPr>
                <w:bCs/>
              </w:rPr>
            </w:pPr>
            <w:r w:rsidRPr="000F00C7">
              <w:rPr>
                <w:bCs/>
              </w:rPr>
              <w:t>P: -</w:t>
            </w:r>
          </w:p>
        </w:tc>
      </w:tr>
      <w:tr w:rsidR="000F00C7" w:rsidTr="00723617">
        <w:tc>
          <w:tcPr>
            <w:tcW w:w="1009" w:type="dxa"/>
            <w:tcBorders>
              <w:top w:val="single" w:sz="8" w:space="0" w:color="4F81BD"/>
              <w:left w:val="single" w:sz="8" w:space="0" w:color="4F81BD"/>
              <w:bottom w:val="single" w:sz="8" w:space="0" w:color="4F81BD"/>
              <w:right w:val="nil"/>
            </w:tcBorders>
            <w:vAlign w:val="center"/>
            <w:hideMark/>
          </w:tcPr>
          <w:p w:rsidR="000F00C7" w:rsidRDefault="000F00C7" w:rsidP="00723617">
            <w:pPr>
              <w:spacing w:after="0"/>
              <w:jc w:val="center"/>
              <w:rPr>
                <w:b/>
                <w:bCs/>
              </w:rPr>
            </w:pPr>
            <w:r>
              <w:rPr>
                <w:b/>
                <w:noProof/>
                <w:lang w:eastAsia="de-DE"/>
              </w:rPr>
              <w:drawing>
                <wp:inline distT="0" distB="0" distL="0" distR="0" wp14:anchorId="6C72B6BE" wp14:editId="07D98A7E">
                  <wp:extent cx="511098" cy="511200"/>
                  <wp:effectExtent l="19050" t="0" r="3252" b="0"/>
                  <wp:docPr id="224" name="Bild 10" descr="C:\Users\Friedrich.F\Desktop\SVP Chemie 2\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riedrich.F\Desktop\SVP Chemie 2\Protokolle\Piktogramme\Ätzend.png"/>
                          <pic:cNvPicPr>
                            <a:picLocks noChangeAspect="1" noChangeArrowheads="1"/>
                          </pic:cNvPicPr>
                        </pic:nvPicPr>
                        <pic:blipFill>
                          <a:blip r:embed="rId7"/>
                          <a:srcRect/>
                          <a:stretch>
                            <a:fillRect/>
                          </a:stretch>
                        </pic:blipFill>
                        <pic:spPr bwMode="auto">
                          <a:xfrm>
                            <a:off x="0" y="0"/>
                            <a:ext cx="511098" cy="511200"/>
                          </a:xfrm>
                          <a:prstGeom prst="rect">
                            <a:avLst/>
                          </a:prstGeom>
                          <a:noFill/>
                          <a:ln w="9525">
                            <a:noFill/>
                            <a:miter lim="800000"/>
                            <a:headEnd/>
                            <a:tailEnd/>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0F00C7" w:rsidRDefault="000F00C7" w:rsidP="00723617">
            <w:pPr>
              <w:spacing w:after="0"/>
              <w:jc w:val="center"/>
            </w:pPr>
            <w:r>
              <w:rPr>
                <w:noProof/>
                <w:lang w:eastAsia="de-DE"/>
              </w:rPr>
              <w:drawing>
                <wp:inline distT="0" distB="0" distL="0" distR="0" wp14:anchorId="3FA2B3CE" wp14:editId="5FD8A9DF">
                  <wp:extent cx="511098" cy="511200"/>
                  <wp:effectExtent l="19050" t="0" r="3252" b="0"/>
                  <wp:docPr id="20" name="Bild 9" descr="C:\Users\Friedrich.F\Desktop\SVP 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riedrich.F\Desktop\SVP Chemie\Protokolle\Piktogramme\Brandfördernd.png"/>
                          <pic:cNvPicPr>
                            <a:picLocks noChangeAspect="1" noChangeArrowheads="1"/>
                          </pic:cNvPicPr>
                        </pic:nvPicPr>
                        <pic:blipFill>
                          <a:blip r:embed="rId8">
                            <a:duotone>
                              <a:schemeClr val="bg2">
                                <a:shade val="45000"/>
                                <a:satMod val="135000"/>
                              </a:schemeClr>
                              <a:prstClr val="white"/>
                            </a:duotone>
                          </a:blip>
                          <a:srcRect/>
                          <a:stretch>
                            <a:fillRect/>
                          </a:stretch>
                        </pic:blipFill>
                        <pic:spPr bwMode="auto">
                          <a:xfrm>
                            <a:off x="0" y="0"/>
                            <a:ext cx="511098" cy="511200"/>
                          </a:xfrm>
                          <a:prstGeom prst="rect">
                            <a:avLst/>
                          </a:prstGeom>
                          <a:noFill/>
                          <a:ln w="9525">
                            <a:noFill/>
                            <a:miter lim="800000"/>
                            <a:headEnd/>
                            <a:tailEnd/>
                          </a:ln>
                        </pic:spPr>
                      </pic:pic>
                    </a:graphicData>
                  </a:graphic>
                </wp:inline>
              </w:drawing>
            </w:r>
          </w:p>
        </w:tc>
        <w:tc>
          <w:tcPr>
            <w:tcW w:w="1008" w:type="dxa"/>
            <w:tcBorders>
              <w:top w:val="single" w:sz="8" w:space="0" w:color="4F81BD"/>
              <w:left w:val="nil"/>
              <w:bottom w:val="single" w:sz="8" w:space="0" w:color="4F81BD"/>
              <w:right w:val="nil"/>
            </w:tcBorders>
            <w:vAlign w:val="center"/>
            <w:hideMark/>
          </w:tcPr>
          <w:p w:rsidR="000F00C7" w:rsidRDefault="000F00C7" w:rsidP="00723617">
            <w:pPr>
              <w:spacing w:after="0"/>
              <w:jc w:val="center"/>
            </w:pPr>
            <w:r>
              <w:rPr>
                <w:noProof/>
                <w:lang w:eastAsia="de-DE"/>
              </w:rPr>
              <w:drawing>
                <wp:inline distT="0" distB="0" distL="0" distR="0" wp14:anchorId="15F9A728" wp14:editId="258E6686">
                  <wp:extent cx="511098" cy="511200"/>
                  <wp:effectExtent l="19050" t="0" r="3252" b="0"/>
                  <wp:docPr id="227" name="Bild 15" descr="C:\Users\Friedrich.F\Desktop\SVP Chemie 2\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riedrich.F\Desktop\SVP Chemie 2\Protokolle\Piktogramme\Brennbar.png"/>
                          <pic:cNvPicPr>
                            <a:picLocks noChangeAspect="1" noChangeArrowheads="1"/>
                          </pic:cNvPicPr>
                        </pic:nvPicPr>
                        <pic:blipFill>
                          <a:blip r:embed="rId9"/>
                          <a:srcRect/>
                          <a:stretch>
                            <a:fillRect/>
                          </a:stretch>
                        </pic:blipFill>
                        <pic:spPr bwMode="auto">
                          <a:xfrm>
                            <a:off x="0" y="0"/>
                            <a:ext cx="511098" cy="511200"/>
                          </a:xfrm>
                          <a:prstGeom prst="rect">
                            <a:avLst/>
                          </a:prstGeom>
                          <a:noFill/>
                          <a:ln w="9525">
                            <a:noFill/>
                            <a:miter lim="800000"/>
                            <a:headEnd/>
                            <a:tailEnd/>
                          </a:ln>
                        </pic:spPr>
                      </pic:pic>
                    </a:graphicData>
                  </a:graphic>
                </wp:inline>
              </w:drawing>
            </w:r>
          </w:p>
        </w:tc>
        <w:tc>
          <w:tcPr>
            <w:tcW w:w="1008" w:type="dxa"/>
            <w:tcBorders>
              <w:top w:val="single" w:sz="8" w:space="0" w:color="4F81BD"/>
              <w:left w:val="nil"/>
              <w:bottom w:val="single" w:sz="8" w:space="0" w:color="4F81BD"/>
              <w:right w:val="nil"/>
            </w:tcBorders>
            <w:vAlign w:val="center"/>
            <w:hideMark/>
          </w:tcPr>
          <w:p w:rsidR="000F00C7" w:rsidRDefault="000F00C7" w:rsidP="00723617">
            <w:pPr>
              <w:spacing w:after="0"/>
              <w:jc w:val="center"/>
            </w:pPr>
            <w:r>
              <w:rPr>
                <w:noProof/>
                <w:lang w:eastAsia="de-DE"/>
              </w:rPr>
              <w:drawing>
                <wp:inline distT="0" distB="0" distL="0" distR="0" wp14:anchorId="62FFF6F9" wp14:editId="10B29590">
                  <wp:extent cx="518795" cy="518795"/>
                  <wp:effectExtent l="19050" t="0" r="0" b="0"/>
                  <wp:docPr id="22" name="Grafik 125" descr="Beschreibung: Beschreibung: 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descr="Beschreibung: Beschreibung: C:\Users\Kristina\Desktop\SVP Chemie\Piktogramme\Explosionsgefahr.pn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174" w:type="dxa"/>
            <w:tcBorders>
              <w:top w:val="single" w:sz="8" w:space="0" w:color="4F81BD"/>
              <w:left w:val="nil"/>
              <w:bottom w:val="single" w:sz="8" w:space="0" w:color="4F81BD"/>
              <w:right w:val="nil"/>
            </w:tcBorders>
            <w:vAlign w:val="center"/>
            <w:hideMark/>
          </w:tcPr>
          <w:p w:rsidR="000F00C7" w:rsidRDefault="000F00C7" w:rsidP="00723617">
            <w:pPr>
              <w:spacing w:after="0"/>
              <w:jc w:val="center"/>
            </w:pPr>
            <w:r>
              <w:rPr>
                <w:noProof/>
                <w:lang w:eastAsia="de-DE"/>
              </w:rPr>
              <w:drawing>
                <wp:inline distT="0" distB="0" distL="0" distR="0" wp14:anchorId="2E206664" wp14:editId="2C04E332">
                  <wp:extent cx="512465" cy="511200"/>
                  <wp:effectExtent l="19050" t="0" r="1885" b="0"/>
                  <wp:docPr id="23" name="Bild 8" descr="C:\Users\Friedrich.F\Desktop\SVP 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iedrich.F\Desktop\SVP Chemie\Protokolle\Piktogramme\Gasflasche.png"/>
                          <pic:cNvPicPr>
                            <a:picLocks noChangeAspect="1" noChangeArrowheads="1"/>
                          </pic:cNvPicPr>
                        </pic:nvPicPr>
                        <pic:blipFill>
                          <a:blip r:embed="rId11"/>
                          <a:srcRect/>
                          <a:stretch>
                            <a:fillRect/>
                          </a:stretch>
                        </pic:blipFill>
                        <pic:spPr bwMode="auto">
                          <a:xfrm>
                            <a:off x="0" y="0"/>
                            <a:ext cx="512465" cy="511200"/>
                          </a:xfrm>
                          <a:prstGeom prst="rect">
                            <a:avLst/>
                          </a:prstGeom>
                          <a:noFill/>
                          <a:ln w="9525">
                            <a:noFill/>
                            <a:miter lim="800000"/>
                            <a:headEnd/>
                            <a:tailEnd/>
                          </a:ln>
                        </pic:spPr>
                      </pic:pic>
                    </a:graphicData>
                  </a:graphic>
                </wp:inline>
              </w:drawing>
            </w:r>
          </w:p>
        </w:tc>
        <w:tc>
          <w:tcPr>
            <w:tcW w:w="992" w:type="dxa"/>
            <w:tcBorders>
              <w:top w:val="single" w:sz="8" w:space="0" w:color="4F81BD"/>
              <w:left w:val="nil"/>
              <w:bottom w:val="single" w:sz="8" w:space="0" w:color="4F81BD"/>
              <w:right w:val="nil"/>
            </w:tcBorders>
            <w:vAlign w:val="center"/>
            <w:hideMark/>
          </w:tcPr>
          <w:p w:rsidR="000F00C7" w:rsidRDefault="000F00C7" w:rsidP="00723617">
            <w:pPr>
              <w:spacing w:after="0"/>
              <w:jc w:val="center"/>
            </w:pPr>
            <w:r>
              <w:rPr>
                <w:noProof/>
                <w:lang w:eastAsia="de-DE"/>
              </w:rPr>
              <w:drawing>
                <wp:inline distT="0" distB="0" distL="0" distR="0" wp14:anchorId="528CB8F9" wp14:editId="7BA1110E">
                  <wp:extent cx="518795" cy="518795"/>
                  <wp:effectExtent l="19050" t="0" r="0" b="0"/>
                  <wp:docPr id="24" name="Grafik 123" descr="Beschreibung: Beschreibung: 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descr="Beschreibung: Beschreibung: C:\Users\Kristina\Desktop\SVP Chemie\Piktogramme\Gesundheitsgefahr.png"/>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974" w:type="dxa"/>
            <w:tcBorders>
              <w:top w:val="single" w:sz="8" w:space="0" w:color="4F81BD"/>
              <w:left w:val="nil"/>
              <w:bottom w:val="single" w:sz="8" w:space="0" w:color="4F81BD"/>
              <w:right w:val="nil"/>
            </w:tcBorders>
            <w:vAlign w:val="center"/>
            <w:hideMark/>
          </w:tcPr>
          <w:p w:rsidR="000F00C7" w:rsidRDefault="000F00C7" w:rsidP="00723617">
            <w:pPr>
              <w:spacing w:after="0"/>
              <w:jc w:val="center"/>
            </w:pPr>
            <w:r>
              <w:rPr>
                <w:noProof/>
                <w:lang w:eastAsia="de-DE"/>
              </w:rPr>
              <w:drawing>
                <wp:inline distT="0" distB="0" distL="0" distR="0" wp14:anchorId="6D1835CD" wp14:editId="54D4F315">
                  <wp:extent cx="518795" cy="518795"/>
                  <wp:effectExtent l="19050" t="0" r="0" b="0"/>
                  <wp:docPr id="25" name="Grafik 122" descr="Beschreibung: Beschreibung: 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descr="Beschreibung: Beschreibung: C:\Users\Kristina\Desktop\SVP Chemie\Piktogramme\Giftig.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vAlign w:val="center"/>
            <w:hideMark/>
          </w:tcPr>
          <w:p w:rsidR="000F00C7" w:rsidRDefault="000F00C7" w:rsidP="00723617">
            <w:pPr>
              <w:spacing w:after="0"/>
              <w:jc w:val="center"/>
            </w:pPr>
            <w:r>
              <w:rPr>
                <w:noProof/>
                <w:lang w:eastAsia="de-DE"/>
              </w:rPr>
              <w:drawing>
                <wp:inline distT="0" distB="0" distL="0" distR="0" wp14:anchorId="087E3EFB" wp14:editId="6E42C832">
                  <wp:extent cx="511200" cy="507788"/>
                  <wp:effectExtent l="19050" t="0" r="3150" b="0"/>
                  <wp:docPr id="26" name="Bild 1" descr="C:\Users\Friedrich.F\Desktop\SVP Chemie\Protokoll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iedrich.F\Desktop\SVP Chemie\Protokolle\Piktogramme\Reizend.png"/>
                          <pic:cNvPicPr>
                            <a:picLocks noChangeAspect="1" noChangeArrowheads="1"/>
                          </pic:cNvPicPr>
                        </pic:nvPicPr>
                        <pic:blipFill>
                          <a:blip r:embed="rId14"/>
                          <a:srcRect/>
                          <a:stretch>
                            <a:fillRect/>
                          </a:stretch>
                        </pic:blipFill>
                        <pic:spPr bwMode="auto">
                          <a:xfrm>
                            <a:off x="0" y="0"/>
                            <a:ext cx="511200" cy="507788"/>
                          </a:xfrm>
                          <a:prstGeom prst="rect">
                            <a:avLst/>
                          </a:prstGeom>
                          <a:noFill/>
                          <a:ln w="9525">
                            <a:noFill/>
                            <a:miter lim="800000"/>
                            <a:headEnd/>
                            <a:tailEnd/>
                          </a:ln>
                        </pic:spPr>
                      </pic:pic>
                    </a:graphicData>
                  </a:graphic>
                </wp:inline>
              </w:drawing>
            </w:r>
          </w:p>
        </w:tc>
        <w:tc>
          <w:tcPr>
            <w:tcW w:w="1133" w:type="dxa"/>
            <w:tcBorders>
              <w:top w:val="single" w:sz="8" w:space="0" w:color="4F81BD"/>
              <w:left w:val="nil"/>
              <w:bottom w:val="single" w:sz="8" w:space="0" w:color="4F81BD"/>
              <w:right w:val="single" w:sz="8" w:space="0" w:color="4F81BD"/>
            </w:tcBorders>
            <w:vAlign w:val="center"/>
            <w:hideMark/>
          </w:tcPr>
          <w:p w:rsidR="000F00C7" w:rsidRDefault="000F00C7" w:rsidP="00723617">
            <w:pPr>
              <w:spacing w:after="0"/>
              <w:jc w:val="center"/>
            </w:pPr>
            <w:r>
              <w:rPr>
                <w:noProof/>
                <w:lang w:eastAsia="de-DE"/>
              </w:rPr>
              <w:drawing>
                <wp:inline distT="0" distB="0" distL="0" distR="0" wp14:anchorId="13071C08" wp14:editId="12CB07BF">
                  <wp:extent cx="518795" cy="518795"/>
                  <wp:effectExtent l="19050" t="0" r="0" b="0"/>
                  <wp:docPr id="27" name="Grafik 120" descr="Beschreibung: Beschreibung: 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descr="Beschreibung: Beschreibung: C:\Users\Kristina\Desktop\SVP Chemie\Piktogramme\Umweltgefahr.pn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r>
    </w:tbl>
    <w:p w:rsidR="000F00C7" w:rsidRDefault="000F00C7" w:rsidP="000F00C7">
      <w:pPr>
        <w:tabs>
          <w:tab w:val="left" w:pos="1701"/>
          <w:tab w:val="left" w:pos="1985"/>
        </w:tabs>
      </w:pPr>
    </w:p>
    <w:p w:rsidR="000F00C7" w:rsidRDefault="000F00C7" w:rsidP="000F00C7">
      <w:pPr>
        <w:tabs>
          <w:tab w:val="left" w:pos="1701"/>
          <w:tab w:val="left" w:pos="1985"/>
        </w:tabs>
        <w:ind w:left="1980" w:hanging="1980"/>
      </w:pPr>
      <w:r>
        <w:t xml:space="preserve">Materialien: </w:t>
      </w:r>
      <w:r>
        <w:tab/>
      </w:r>
      <w:r>
        <w:tab/>
        <w:t>2 Standzylinder, Hausgas-Anschluss, 2 Uhrgläser, Brennspan, Feuerzeug, feuerfeste Unterlage</w:t>
      </w:r>
    </w:p>
    <w:p w:rsidR="000F00C7" w:rsidRDefault="000F00C7" w:rsidP="000F00C7">
      <w:pPr>
        <w:tabs>
          <w:tab w:val="left" w:pos="1701"/>
          <w:tab w:val="left" w:pos="1985"/>
        </w:tabs>
        <w:ind w:left="1980" w:hanging="1980"/>
      </w:pPr>
      <w:r>
        <w:t>Chemikalien:</w:t>
      </w:r>
      <w:r>
        <w:tab/>
      </w:r>
      <w:r>
        <w:tab/>
        <w:t xml:space="preserve">Propan, </w:t>
      </w:r>
      <w:proofErr w:type="spellStart"/>
      <w:r>
        <w:t>dest</w:t>
      </w:r>
      <w:proofErr w:type="spellEnd"/>
      <w:r>
        <w:t xml:space="preserve">. Wasser, </w:t>
      </w:r>
      <w:proofErr w:type="spellStart"/>
      <w:r>
        <w:t>Calciumhydroxid.Lösung</w:t>
      </w:r>
      <w:proofErr w:type="spellEnd"/>
    </w:p>
    <w:p w:rsidR="000F00C7" w:rsidRDefault="000F00C7" w:rsidP="000F00C7">
      <w:pPr>
        <w:tabs>
          <w:tab w:val="left" w:pos="1701"/>
          <w:tab w:val="left" w:pos="1985"/>
        </w:tabs>
        <w:ind w:left="1980" w:hanging="1980"/>
      </w:pPr>
      <w:r>
        <w:t xml:space="preserve">Durchführung: </w:t>
      </w:r>
      <w:r>
        <w:tab/>
      </w:r>
      <w:r>
        <w:tab/>
      </w:r>
      <w:r>
        <w:tab/>
        <w:t xml:space="preserve">Es wird ein Standzylinder mit destilliertem Wasser ausgewaschen und getrocknet. Die Innenwand des zweiten Standzylinders wird mit einer Calciumhydroxid-Lösung befeuchtet. Beide Standzylinder werden mit Propan im Abzug und mit den Uhrgläsern verschlossen. Wenn die </w:t>
      </w:r>
      <w:proofErr w:type="spellStart"/>
      <w:r>
        <w:t>SuS</w:t>
      </w:r>
      <w:proofErr w:type="spellEnd"/>
      <w:r>
        <w:t xml:space="preserve"> mit der Handhabung nicht geübt sind, sollte das Befüllen von der Lehrperson übernommen werden. Anschließend kann das Gas in den Standzylindern mit einem langen Streichholz entzündet werden.</w:t>
      </w:r>
    </w:p>
    <w:p w:rsidR="000F00C7" w:rsidRDefault="000F00C7" w:rsidP="000F00C7">
      <w:pPr>
        <w:tabs>
          <w:tab w:val="left" w:pos="1701"/>
          <w:tab w:val="left" w:pos="1985"/>
        </w:tabs>
        <w:ind w:left="1980" w:hanging="1980"/>
      </w:pPr>
      <w:r>
        <w:t>Beobachtung:</w:t>
      </w:r>
      <w:r>
        <w:tab/>
      </w:r>
      <w:r>
        <w:tab/>
      </w:r>
      <w:r>
        <w:tab/>
        <w:t>In dem ersten Standzylinder bilden sich kleine Tröpfchen an der Wandinnenseite. In dem zweiten Standzylinder trübt sich die Wandinnenseite weiß.</w:t>
      </w:r>
    </w:p>
    <w:p w:rsidR="000F00C7" w:rsidRDefault="000F00C7" w:rsidP="000F00C7">
      <w:pPr>
        <w:tabs>
          <w:tab w:val="left" w:pos="1701"/>
          <w:tab w:val="left" w:pos="1985"/>
        </w:tabs>
        <w:ind w:left="1980" w:hanging="1980"/>
      </w:pPr>
    </w:p>
    <w:p w:rsidR="000F00C7" w:rsidRDefault="000F00C7" w:rsidP="000F00C7">
      <w:pPr>
        <w:tabs>
          <w:tab w:val="left" w:pos="1701"/>
          <w:tab w:val="left" w:pos="1985"/>
        </w:tabs>
        <w:ind w:left="1980" w:hanging="1980"/>
      </w:pPr>
    </w:p>
    <w:p w:rsidR="000F00C7" w:rsidRDefault="000F00C7" w:rsidP="000F00C7">
      <w:pPr>
        <w:tabs>
          <w:tab w:val="left" w:pos="1701"/>
          <w:tab w:val="left" w:pos="1985"/>
        </w:tabs>
        <w:ind w:left="1980" w:hanging="1980"/>
      </w:pPr>
    </w:p>
    <w:p w:rsidR="000F00C7" w:rsidRDefault="000F00C7" w:rsidP="000F00C7">
      <w:pPr>
        <w:tabs>
          <w:tab w:val="left" w:pos="1701"/>
          <w:tab w:val="left" w:pos="1985"/>
        </w:tabs>
        <w:ind w:left="1980" w:hanging="1980"/>
      </w:pPr>
    </w:p>
    <w:p w:rsidR="000F00C7" w:rsidRDefault="000F00C7" w:rsidP="000F00C7">
      <w:pPr>
        <w:tabs>
          <w:tab w:val="left" w:pos="1701"/>
          <w:tab w:val="left" w:pos="1985"/>
        </w:tabs>
        <w:ind w:left="1980" w:hanging="1980"/>
      </w:pPr>
    </w:p>
    <w:p w:rsidR="000F00C7" w:rsidRDefault="000F00C7" w:rsidP="000F00C7">
      <w:pPr>
        <w:tabs>
          <w:tab w:val="left" w:pos="1701"/>
          <w:tab w:val="left" w:pos="1985"/>
        </w:tabs>
        <w:ind w:left="1980" w:hanging="1980"/>
      </w:pPr>
    </w:p>
    <w:p w:rsidR="000F00C7" w:rsidRDefault="000F00C7" w:rsidP="000F00C7">
      <w:pPr>
        <w:tabs>
          <w:tab w:val="left" w:pos="1701"/>
          <w:tab w:val="left" w:pos="1985"/>
        </w:tabs>
        <w:ind w:left="1980" w:hanging="1980"/>
      </w:pPr>
    </w:p>
    <w:p w:rsidR="000F00C7" w:rsidRDefault="000F00C7" w:rsidP="000F00C7">
      <w:pPr>
        <w:tabs>
          <w:tab w:val="left" w:pos="1701"/>
          <w:tab w:val="left" w:pos="1985"/>
        </w:tabs>
        <w:ind w:left="1980" w:hanging="1980"/>
      </w:pPr>
    </w:p>
    <w:p w:rsidR="000F00C7" w:rsidRDefault="000F00C7" w:rsidP="000F00C7">
      <w:pPr>
        <w:tabs>
          <w:tab w:val="left" w:pos="1701"/>
          <w:tab w:val="left" w:pos="1985"/>
        </w:tabs>
        <w:ind w:left="1980" w:hanging="1980"/>
      </w:pPr>
    </w:p>
    <w:p w:rsidR="000F00C7" w:rsidRDefault="000F00C7" w:rsidP="000F00C7">
      <w:pPr>
        <w:tabs>
          <w:tab w:val="left" w:pos="1701"/>
          <w:tab w:val="left" w:pos="1985"/>
        </w:tabs>
        <w:ind w:left="1980" w:hanging="1980"/>
      </w:pPr>
    </w:p>
    <w:p w:rsidR="000F00C7" w:rsidRDefault="000F00C7" w:rsidP="000F00C7">
      <w:pPr>
        <w:tabs>
          <w:tab w:val="left" w:pos="1701"/>
          <w:tab w:val="left" w:pos="1985"/>
        </w:tabs>
        <w:ind w:left="1980" w:hanging="1980"/>
      </w:pPr>
    </w:p>
    <w:p w:rsidR="000F00C7" w:rsidRDefault="000F00C7" w:rsidP="000F00C7">
      <w:pPr>
        <w:tabs>
          <w:tab w:val="left" w:pos="1701"/>
          <w:tab w:val="left" w:pos="1985"/>
        </w:tabs>
        <w:ind w:left="1980" w:hanging="1980"/>
      </w:pPr>
    </w:p>
    <w:p w:rsidR="000F00C7" w:rsidRPr="000F00C7" w:rsidRDefault="000F00C7" w:rsidP="000F00C7">
      <w:pPr>
        <w:tabs>
          <w:tab w:val="left" w:pos="1701"/>
          <w:tab w:val="left" w:pos="1985"/>
        </w:tabs>
        <w:spacing w:line="240" w:lineRule="auto"/>
        <w:ind w:left="1980" w:hanging="1980"/>
        <w:jc w:val="center"/>
        <w:rPr>
          <w:sz w:val="4"/>
        </w:rPr>
      </w:pPr>
      <w:r>
        <w:rPr>
          <w:noProof/>
          <w:lang w:eastAsia="de-DE"/>
        </w:rPr>
        <w:drawing>
          <wp:anchor distT="0" distB="0" distL="114300" distR="114300" simplePos="0" relativeHeight="251660288" behindDoc="0" locked="0" layoutInCell="1" allowOverlap="1">
            <wp:simplePos x="0" y="0"/>
            <wp:positionH relativeFrom="column">
              <wp:posOffset>1552575</wp:posOffset>
            </wp:positionH>
            <wp:positionV relativeFrom="paragraph">
              <wp:posOffset>-6977380</wp:posOffset>
            </wp:positionV>
            <wp:extent cx="2648585" cy="1983740"/>
            <wp:effectExtent l="8573" t="0" r="7937" b="7938"/>
            <wp:wrapThrough wrapText="bothSides">
              <wp:wrapPolygon edited="0">
                <wp:start x="70" y="21693"/>
                <wp:lineTo x="21509" y="21693"/>
                <wp:lineTo x="21509" y="121"/>
                <wp:lineTo x="70" y="121"/>
                <wp:lineTo x="70" y="21693"/>
              </wp:wrapPolygon>
            </wp:wrapThrough>
            <wp:docPr id="30" name="Grafik 29" descr="20160729_152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729_152229.jpg"/>
                    <pic:cNvPicPr/>
                  </pic:nvPicPr>
                  <pic:blipFill>
                    <a:blip r:embed="rId16" cstate="print">
                      <a:lum contrast="20000"/>
                      <a:extLst>
                        <a:ext uri="{28A0092B-C50C-407E-A947-70E740481C1C}">
                          <a14:useLocalDpi xmlns:a14="http://schemas.microsoft.com/office/drawing/2010/main" val="0"/>
                        </a:ext>
                      </a:extLst>
                    </a:blip>
                    <a:stretch>
                      <a:fillRect/>
                    </a:stretch>
                  </pic:blipFill>
                  <pic:spPr>
                    <a:xfrm rot="5400000">
                      <a:off x="0" y="0"/>
                      <a:ext cx="2648585" cy="1983740"/>
                    </a:xfrm>
                    <a:prstGeom prst="rect">
                      <a:avLst/>
                    </a:prstGeom>
                  </pic:spPr>
                </pic:pic>
              </a:graphicData>
            </a:graphic>
            <wp14:sizeRelH relativeFrom="page">
              <wp14:pctWidth>0</wp14:pctWidth>
            </wp14:sizeRelH>
            <wp14:sizeRelV relativeFrom="page">
              <wp14:pctHeight>0</wp14:pctHeight>
            </wp14:sizeRelV>
          </wp:anchor>
        </w:drawing>
      </w:r>
    </w:p>
    <w:p w:rsidR="000F00C7" w:rsidRDefault="000F00C7" w:rsidP="000F00C7">
      <w:pPr>
        <w:pStyle w:val="Beschriftung"/>
        <w:jc w:val="center"/>
      </w:pPr>
      <w:r>
        <w:t>Abbildung 1 – Links: Mit destilliertem Wasser ausgewaschener Standzylinder. Rechts: Mit einer Calciumhydroxid-Lösung befeuchteter Standzylinder.</w:t>
      </w:r>
      <w:bookmarkStart w:id="1" w:name="_GoBack"/>
      <w:bookmarkEnd w:id="1"/>
    </w:p>
    <w:p w:rsidR="000F00C7" w:rsidRPr="004122ED" w:rsidRDefault="000F00C7" w:rsidP="000F00C7">
      <w:pPr>
        <w:rPr>
          <w:sz w:val="2"/>
        </w:rPr>
      </w:pPr>
    </w:p>
    <w:p w:rsidR="000F00C7" w:rsidRDefault="000F00C7" w:rsidP="000F00C7">
      <w:pPr>
        <w:tabs>
          <w:tab w:val="left" w:pos="1701"/>
          <w:tab w:val="left" w:pos="1985"/>
        </w:tabs>
        <w:ind w:left="1980" w:hanging="1980"/>
      </w:pPr>
      <w:r>
        <w:t>Deutung:</w:t>
      </w:r>
      <w:r>
        <w:tab/>
      </w:r>
      <w:r>
        <w:tab/>
      </w:r>
      <w:r>
        <w:tab/>
        <w:t xml:space="preserve">Im ersten Standzylinder bilden sich kleine </w:t>
      </w:r>
      <w:proofErr w:type="spellStart"/>
      <w:r>
        <w:t>Wassertröpfchen</w:t>
      </w:r>
      <w:proofErr w:type="spellEnd"/>
      <w:r>
        <w:t>, die als Wasserdampf kurzzeitig an der Wandinnenseite zu beobachten sind. Da der Standzylinder zuvor trocken war, kann darauf geschlossen werden, dass sich Wasser als ein Produkt bei der Verbrennung von einem Alkan bildet. Im zweiten Standzylinder dient die Calciumhydroxid-Lösung als Nachweismittel für Kohlenstoffdioxid. Wird Kohlenstoffdioxid in die Calciumhydroxid-Lösung eingeleitet trübt sich die Lösung, es fällt Calciumcarbonat aus. Somit ist Kohlenstoffdioxid ein weiteres Produkt bei der Verbrennung von Alkanen.</w:t>
      </w:r>
    </w:p>
    <w:p w:rsidR="000F00C7" w:rsidRDefault="000F00C7" w:rsidP="000F00C7">
      <w:pPr>
        <w:tabs>
          <w:tab w:val="left" w:pos="1701"/>
          <w:tab w:val="left" w:pos="1985"/>
        </w:tabs>
        <w:ind w:left="1980" w:hanging="1980"/>
      </w:pPr>
      <w:r>
        <w:tab/>
      </w:r>
      <w:r>
        <w:tab/>
        <w:t>Reaktionsgleichungen:</w:t>
      </w:r>
    </w:p>
    <w:p w:rsidR="000F00C7" w:rsidRPr="005F29E5" w:rsidRDefault="000F00C7" w:rsidP="000F00C7">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8</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5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sub>
            <m:r>
              <m:rPr>
                <m:sty m:val="p"/>
              </m:rPr>
              <w:rPr>
                <w:rFonts w:ascii="Cambria Math" w:hAnsi="Cambria Math"/>
              </w:rPr>
              <m:t>(g)</m:t>
            </m:r>
          </m:sub>
        </m:sSub>
        <m:r>
          <m:rPr>
            <m:sty m:val="p"/>
          </m:rPr>
          <w:rPr>
            <w:rFonts w:ascii="Cambria Math"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3 CO</m:t>
                </m:r>
              </m:e>
              <m:sub>
                <m:r>
                  <m:rPr>
                    <m:sty m:val="p"/>
                  </m:rPr>
                  <w:rPr>
                    <w:rFonts w:ascii="Cambria Math" w:eastAsiaTheme="minorEastAsia" w:hAnsi="Cambria Math"/>
                  </w:rPr>
                  <m:t>2</m:t>
                </m:r>
              </m:sub>
            </m:sSub>
          </m:e>
          <m:sub>
            <m:r>
              <m:rPr>
                <m:sty m:val="p"/>
              </m:rPr>
              <w:rPr>
                <w:rFonts w:ascii="Cambria Math" w:eastAsiaTheme="minorEastAsia" w:hAnsi="Cambria Math"/>
              </w:rPr>
              <m:t>(g)</m:t>
            </m:r>
          </m:sub>
        </m:sSub>
        <m:r>
          <m:rPr>
            <m:sty m:val="p"/>
          </m:rPr>
          <w:rPr>
            <w:rFonts w:ascii="Cambria Math"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4 H</m:t>
                </m:r>
              </m:e>
              <m:sub>
                <m:r>
                  <m:rPr>
                    <m:sty m:val="p"/>
                  </m:rPr>
                  <w:rPr>
                    <w:rFonts w:ascii="Cambria Math" w:eastAsiaTheme="minorEastAsia" w:hAnsi="Cambria Math"/>
                  </w:rPr>
                  <m:t>2</m:t>
                </m:r>
              </m:sub>
            </m:sSub>
            <m:r>
              <m:rPr>
                <m:sty m:val="p"/>
              </m:rPr>
              <w:rPr>
                <w:rFonts w:ascii="Cambria Math" w:eastAsiaTheme="minorEastAsia" w:hAnsi="Cambria Math"/>
              </w:rPr>
              <m:t>O</m:t>
            </m:r>
          </m:e>
          <m:sub>
            <m:r>
              <m:rPr>
                <m:sty m:val="p"/>
              </m:rPr>
              <w:rPr>
                <w:rFonts w:ascii="Cambria Math" w:eastAsiaTheme="minorEastAsia" w:hAnsi="Cambria Math"/>
              </w:rPr>
              <m:t>(l)</m:t>
            </m:r>
          </m:sub>
        </m:sSub>
      </m:oMath>
    </w:p>
    <w:p w:rsidR="000F00C7" w:rsidRPr="00914AA4" w:rsidRDefault="000F00C7" w:rsidP="000F00C7">
      <w:pPr>
        <w:tabs>
          <w:tab w:val="left" w:pos="1701"/>
          <w:tab w:val="left" w:pos="1985"/>
        </w:tabs>
        <w:ind w:left="1980" w:hanging="1980"/>
      </w:pPr>
      <w:r w:rsidRPr="005F29E5">
        <w:tab/>
      </w:r>
      <w:r w:rsidRPr="005F29E5">
        <w:tab/>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Ca(OH)</m:t>
                </m:r>
              </m:e>
              <m:sub>
                <m:r>
                  <m:rPr>
                    <m:sty m:val="p"/>
                  </m:rPr>
                  <w:rPr>
                    <w:rFonts w:ascii="Cambria Math" w:hAnsi="Cambria Math"/>
                  </w:rPr>
                  <m:t>2</m:t>
                </m:r>
              </m:sub>
            </m:sSub>
          </m:e>
          <m:sub>
            <m:r>
              <m:rPr>
                <m:sty m:val="p"/>
              </m:rPr>
              <w:rPr>
                <w:rFonts w:ascii="Cambria Math" w:hAnsi="Cambria Math"/>
              </w:rPr>
              <m:t>(aq)</m:t>
            </m:r>
          </m:sub>
        </m:sSub>
        <m:r>
          <m:rPr>
            <m:sty m:val="p"/>
          </m:rPr>
          <w:rPr>
            <w:rFonts w:ascii="Cambria Math" w:eastAsiaTheme="minorEastAsia"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CO</m:t>
                </m:r>
              </m:e>
              <m:sub>
                <m:r>
                  <m:rPr>
                    <m:sty m:val="p"/>
                  </m:rPr>
                  <w:rPr>
                    <w:rFonts w:ascii="Cambria Math" w:eastAsiaTheme="minorEastAsia" w:hAnsi="Cambria Math"/>
                  </w:rPr>
                  <m:t>2</m:t>
                </m:r>
              </m:sub>
            </m:sSub>
          </m:e>
          <m:sub>
            <m:r>
              <m:rPr>
                <m:sty m:val="p"/>
              </m:rPr>
              <w:rPr>
                <w:rFonts w:ascii="Cambria Math" w:eastAsiaTheme="minorEastAsia" w:hAnsi="Cambria Math"/>
              </w:rPr>
              <m:t>(g)</m:t>
            </m:r>
          </m:sub>
        </m:sSub>
        <m:r>
          <m:rPr>
            <m:sty m:val="p"/>
          </m:rPr>
          <w:rPr>
            <w:rFonts w:ascii="Cambria Math" w:eastAsiaTheme="minorEastAsia"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CaCO</m:t>
                </m:r>
              </m:e>
              <m:sub>
                <m:r>
                  <m:rPr>
                    <m:sty m:val="p"/>
                  </m:rPr>
                  <w:rPr>
                    <w:rFonts w:ascii="Cambria Math" w:eastAsiaTheme="minorEastAsia" w:hAnsi="Cambria Math"/>
                  </w:rPr>
                  <m:t>3</m:t>
                </m:r>
              </m:sub>
            </m:sSub>
          </m:e>
          <m:sub>
            <m:r>
              <m:rPr>
                <m:sty m:val="p"/>
              </m:rPr>
              <w:rPr>
                <w:rFonts w:ascii="Cambria Math" w:eastAsiaTheme="minorEastAsia" w:hAnsi="Cambria Math"/>
              </w:rPr>
              <m:t>(s)</m:t>
            </m:r>
          </m:sub>
        </m:sSub>
        <m:r>
          <m:rPr>
            <m:sty m:val="p"/>
          </m:rPr>
          <w:rPr>
            <w:rFonts w:ascii="Cambria Math" w:eastAsiaTheme="minorEastAsia"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sub>
            <m:r>
              <m:rPr>
                <m:sty m:val="p"/>
              </m:rPr>
              <w:rPr>
                <w:rFonts w:ascii="Cambria Math" w:eastAsiaTheme="minorEastAsia" w:hAnsi="Cambria Math"/>
              </w:rPr>
              <m:t>(l)</m:t>
            </m:r>
          </m:sub>
        </m:sSub>
      </m:oMath>
    </w:p>
    <w:p w:rsidR="000F00C7" w:rsidRDefault="000F00C7" w:rsidP="000F00C7">
      <w:pPr>
        <w:tabs>
          <w:tab w:val="left" w:pos="1701"/>
          <w:tab w:val="left" w:pos="1985"/>
        </w:tabs>
        <w:ind w:left="1980" w:hanging="1980"/>
      </w:pPr>
      <w:r>
        <w:t>Entsorgung:</w:t>
      </w:r>
      <w:r>
        <w:tab/>
      </w:r>
      <w:r>
        <w:tab/>
      </w:r>
      <w:r w:rsidRPr="000F00C7">
        <w:t>Das Gas verbrennt vollständig. Die restliche Calciumhydroxid-Lösung wird in den anorganischen Abfall mit Schwermetallen entsorgt. Der pH-Wert sollte kontrolliert werden.</w:t>
      </w:r>
    </w:p>
    <w:p w:rsidR="000F00C7" w:rsidRPr="00B11446" w:rsidRDefault="000F00C7" w:rsidP="000F00C7">
      <w:pPr>
        <w:tabs>
          <w:tab w:val="left" w:pos="1701"/>
          <w:tab w:val="left" w:pos="1985"/>
        </w:tabs>
        <w:ind w:left="1980" w:hanging="1980"/>
      </w:pPr>
      <w:r>
        <w:t>Literatur:</w:t>
      </w:r>
      <w:r>
        <w:tab/>
      </w:r>
      <w:r>
        <w:tab/>
      </w:r>
      <w:r w:rsidRPr="000F00C7">
        <w:t xml:space="preserve">K. </w:t>
      </w:r>
      <w:proofErr w:type="spellStart"/>
      <w:r w:rsidRPr="000F00C7">
        <w:t>Häuseler</w:t>
      </w:r>
      <w:proofErr w:type="spellEnd"/>
      <w:r w:rsidRPr="000F00C7">
        <w:t xml:space="preserve">, H. </w:t>
      </w:r>
      <w:proofErr w:type="spellStart"/>
      <w:r w:rsidRPr="000F00C7">
        <w:t>Rampf</w:t>
      </w:r>
      <w:proofErr w:type="spellEnd"/>
      <w:r w:rsidRPr="000F00C7">
        <w:t xml:space="preserve">, R. Reichelt, R. (1995). Experimente für den Chemieunterricht. </w:t>
      </w:r>
      <w:proofErr w:type="spellStart"/>
      <w:r w:rsidRPr="000F00C7">
        <w:t>Oldenbourg</w:t>
      </w:r>
      <w:proofErr w:type="spellEnd"/>
      <w:r w:rsidRPr="000F00C7">
        <w:t xml:space="preserve"> Schulbuchverlag, 2. Auflage, S. 218.</w:t>
      </w:r>
    </w:p>
    <w:p w:rsidR="00A739B1" w:rsidRDefault="00A739B1"/>
    <w:sectPr w:rsidR="00A739B1" w:rsidSect="005B0270">
      <w:headerReference w:type="default" r:id="rId17"/>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DC4" w:rsidRDefault="00F26DC4" w:rsidP="000F00C7">
      <w:pPr>
        <w:spacing w:after="0" w:line="240" w:lineRule="auto"/>
      </w:pPr>
      <w:r>
        <w:separator/>
      </w:r>
    </w:p>
  </w:endnote>
  <w:endnote w:type="continuationSeparator" w:id="0">
    <w:p w:rsidR="00F26DC4" w:rsidRDefault="00F26DC4" w:rsidP="000F0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DC4" w:rsidRDefault="00F26DC4" w:rsidP="000F00C7">
      <w:pPr>
        <w:spacing w:after="0" w:line="240" w:lineRule="auto"/>
      </w:pPr>
      <w:r>
        <w:separator/>
      </w:r>
    </w:p>
  </w:footnote>
  <w:footnote w:type="continuationSeparator" w:id="0">
    <w:p w:rsidR="00F26DC4" w:rsidRDefault="00F26DC4" w:rsidP="000F0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F01" w:rsidRPr="0080101C" w:rsidRDefault="00F26DC4" w:rsidP="000F00C7">
    <w:pPr>
      <w:pStyle w:val="Kopfzeile"/>
      <w:tabs>
        <w:tab w:val="left" w:pos="0"/>
        <w:tab w:val="left" w:pos="284"/>
      </w:tabs>
      <w:rPr>
        <w:rFonts w:ascii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C7"/>
    <w:rsid w:val="000F00C7"/>
    <w:rsid w:val="00A739B1"/>
    <w:rsid w:val="00F26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FC79"/>
  <w15:chartTrackingRefBased/>
  <w15:docId w15:val="{881A432F-785C-4524-8F9E-5044647E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F00C7"/>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0F00C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F00C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F00C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F00C7"/>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0F00C7"/>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0F00C7"/>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0F00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F00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F00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00C7"/>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0F00C7"/>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0F00C7"/>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0F00C7"/>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0F00C7"/>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0F00C7"/>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0F00C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F00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F00C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F00C7"/>
    <w:pPr>
      <w:spacing w:line="240" w:lineRule="auto"/>
    </w:pPr>
    <w:rPr>
      <w:bCs/>
      <w:color w:val="auto"/>
      <w:sz w:val="18"/>
      <w:szCs w:val="18"/>
    </w:rPr>
  </w:style>
  <w:style w:type="paragraph" w:styleId="Kopfzeile">
    <w:name w:val="header"/>
    <w:basedOn w:val="Standard"/>
    <w:link w:val="KopfzeileZchn"/>
    <w:uiPriority w:val="99"/>
    <w:unhideWhenUsed/>
    <w:rsid w:val="000F00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00C7"/>
    <w:rPr>
      <w:rFonts w:ascii="Cambria" w:hAnsi="Cambria"/>
      <w:color w:val="171717" w:themeColor="background2" w:themeShade="1A"/>
    </w:rPr>
  </w:style>
  <w:style w:type="paragraph" w:styleId="Fuzeile">
    <w:name w:val="footer"/>
    <w:basedOn w:val="Standard"/>
    <w:link w:val="FuzeileZchn"/>
    <w:uiPriority w:val="99"/>
    <w:unhideWhenUsed/>
    <w:rsid w:val="000F00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00C7"/>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1924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1</cp:revision>
  <dcterms:created xsi:type="dcterms:W3CDTF">2016-08-09T12:54:00Z</dcterms:created>
  <dcterms:modified xsi:type="dcterms:W3CDTF">2016-08-09T12:58:00Z</dcterms:modified>
</cp:coreProperties>
</file>