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BC" w:rsidRDefault="004764BC" w:rsidP="004764BC">
      <w:pPr>
        <w:pStyle w:val="berschrift2"/>
        <w:numPr>
          <w:ilvl w:val="0"/>
          <w:numId w:val="0"/>
        </w:numPr>
        <w:ind w:left="576"/>
        <w:rPr>
          <w:color w:val="auto"/>
          <w:sz w:val="24"/>
        </w:rPr>
      </w:pPr>
      <w:bookmarkStart w:id="0" w:name="_Toc457885505"/>
      <w:bookmarkStart w:id="1" w:name="_Toc45798621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D1423" wp14:editId="3CBA4A7F">
                <wp:simplePos x="0" y="0"/>
                <wp:positionH relativeFrom="column">
                  <wp:posOffset>-33020</wp:posOffset>
                </wp:positionH>
                <wp:positionV relativeFrom="paragraph">
                  <wp:posOffset>576580</wp:posOffset>
                </wp:positionV>
                <wp:extent cx="5873115" cy="1285875"/>
                <wp:effectExtent l="0" t="0" r="13335" b="28575"/>
                <wp:wrapSquare wrapText="bothSides"/>
                <wp:docPr id="32" name="Textfeld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85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4BC" w:rsidRPr="00BB2392" w:rsidRDefault="004764BC" w:rsidP="004764B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werden Säuren und Basen des Alltags thematisiert. Durch einen Rotkohl-Indikator ergeben sich unterschiedliche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Farbigkeiten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von sauer (rot) über neutral (blau-violett) zu basisch (gelb). SuS sollten bereits Kenntnisse über Begrifflichkeiten wie „sauer“ oder „basisch“ besitzen. Wissen über den pH-Wert sind noch nicht von Nöten.</w:t>
                            </w:r>
                          </w:p>
                          <w:p w:rsidR="004764BC" w:rsidRPr="00BB2392" w:rsidRDefault="004764BC" w:rsidP="004764BC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1" o:spid="_x0000_s1026" type="#_x0000_t202" style="position:absolute;left:0;text-align:left;margin-left:-2.6pt;margin-top:45.4pt;width:462.4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" strokecolor="#4bacc6" strokeweight="1pt">
                <v:stroke dashstyle="dash"/>
                <v:shadow color="#868686"/>
                <v:textbox>
                  <w:txbxContent>
                    <w:p w:rsidR="004764BC" w:rsidRPr="00BB2392" w:rsidRDefault="004764BC" w:rsidP="004764B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Versuch werden Säuren und Basen des Alltags thematisiert. Durch einen Rotkohl-Indikator ergeben sich unterschiedliche </w:t>
                      </w:r>
                      <w:proofErr w:type="spellStart"/>
                      <w:r>
                        <w:rPr>
                          <w:color w:val="auto"/>
                        </w:rPr>
                        <w:t>Farbigkeiten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von sauer (rot) über neutral (blau-violett) zu basisch (gelb). SuS sollten bereits Kenntnisse über Begrifflichkeiten wie „sauer“ oder „basisch“ besitzen. Wissen über den pH-Wert sind noch nicht von Nöten.</w:t>
                      </w:r>
                    </w:p>
                    <w:p w:rsidR="004764BC" w:rsidRPr="00BB2392" w:rsidRDefault="004764BC" w:rsidP="004764BC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GoBack"/>
      <w:bookmarkEnd w:id="2"/>
      <w:r>
        <w:rPr>
          <w:color w:val="auto"/>
          <w:sz w:val="24"/>
        </w:rPr>
        <w:t>V4 - Farborgel mit Rotkohlsaft – Analyse von Haushaltschemikalien</w:t>
      </w:r>
      <w:bookmarkEnd w:id="0"/>
      <w:bookmarkEnd w:id="1"/>
    </w:p>
    <w:p w:rsidR="004764BC" w:rsidRDefault="004764BC" w:rsidP="004764BC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764BC" w:rsidRPr="009C5E28" w:rsidTr="005E3370">
        <w:tc>
          <w:tcPr>
            <w:tcW w:w="9322" w:type="dxa"/>
            <w:gridSpan w:val="9"/>
            <w:shd w:val="clear" w:color="auto" w:fill="4F81BD"/>
            <w:vAlign w:val="center"/>
          </w:tcPr>
          <w:p w:rsidR="004764BC" w:rsidRPr="00F31EBF" w:rsidRDefault="004764BC" w:rsidP="005E337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764BC" w:rsidRPr="009C5E28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Rotkohlsaft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4764BC" w:rsidRPr="004764BC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Default="004764BC" w:rsidP="005E3370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Rohrreiniger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64BC" w:rsidRPr="00F14177" w:rsidRDefault="004764BC" w:rsidP="005E3370">
            <w:pPr>
              <w:spacing w:after="0"/>
              <w:jc w:val="center"/>
              <w:rPr>
                <w:sz w:val="20"/>
                <w:lang w:val="en-US"/>
              </w:rPr>
            </w:pPr>
            <w:r w:rsidRPr="00F14177">
              <w:rPr>
                <w:sz w:val="20"/>
                <w:lang w:val="en-US"/>
              </w:rPr>
              <w:t>P: P260, P264, P280, P310, P321, P301+P330+P331, P305+P351</w:t>
            </w:r>
            <w:r>
              <w:rPr>
                <w:sz w:val="20"/>
                <w:lang w:val="en-US"/>
              </w:rPr>
              <w:t>+P338, P405</w:t>
            </w:r>
          </w:p>
        </w:tc>
      </w:tr>
      <w:tr w:rsidR="004764BC" w:rsidRPr="00F14177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Default="004764BC" w:rsidP="005E3370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Weitere Haushaltschemikalien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Default="004764BC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64BC" w:rsidRPr="00F14177" w:rsidRDefault="004764BC" w:rsidP="005E3370">
            <w:pPr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P: -</w:t>
            </w:r>
          </w:p>
        </w:tc>
      </w:tr>
      <w:tr w:rsidR="004764BC" w:rsidRPr="009C5E28" w:rsidTr="005E337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6080AB06" wp14:editId="432DEB3B">
                  <wp:extent cx="503555" cy="503555"/>
                  <wp:effectExtent l="0" t="0" r="0" b="0"/>
                  <wp:docPr id="106" name="Grafik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3A61F68" wp14:editId="270FC4FB">
                  <wp:extent cx="503555" cy="503555"/>
                  <wp:effectExtent l="0" t="0" r="0" b="0"/>
                  <wp:docPr id="107" name="Grafik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3048FC0" wp14:editId="010B85EE">
                  <wp:extent cx="503555" cy="503555"/>
                  <wp:effectExtent l="0" t="0" r="0" b="0"/>
                  <wp:docPr id="108" name="Grafi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21DB262" wp14:editId="385138EA">
                  <wp:extent cx="503555" cy="503555"/>
                  <wp:effectExtent l="0" t="0" r="0" b="0"/>
                  <wp:docPr id="109" name="Grafi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onsgefah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F0129C9" wp14:editId="0AACCBCE">
                  <wp:extent cx="608965" cy="608965"/>
                  <wp:effectExtent l="0" t="0" r="635" b="635"/>
                  <wp:docPr id="110" name="Grafi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21351C3" wp14:editId="5A347AF5">
                  <wp:extent cx="493395" cy="493395"/>
                  <wp:effectExtent l="0" t="0" r="1905" b="1905"/>
                  <wp:docPr id="111" name="Grafi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A5DF008" wp14:editId="70CE3360">
                  <wp:extent cx="481965" cy="481965"/>
                  <wp:effectExtent l="0" t="0" r="0" b="0"/>
                  <wp:docPr id="112" name="Grafi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195ED3A" wp14:editId="5FBA8D94">
                  <wp:extent cx="503555" cy="503555"/>
                  <wp:effectExtent l="0" t="0" r="0" b="0"/>
                  <wp:docPr id="113" name="Grafik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64BC" w:rsidRPr="009C5E28" w:rsidRDefault="004764BC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2D659DC" wp14:editId="44420066">
                  <wp:extent cx="582930" cy="582930"/>
                  <wp:effectExtent l="0" t="0" r="7620" b="7620"/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BC" w:rsidRDefault="004764BC" w:rsidP="004764BC">
      <w:pPr>
        <w:tabs>
          <w:tab w:val="left" w:pos="1701"/>
          <w:tab w:val="left" w:pos="1985"/>
        </w:tabs>
        <w:ind w:left="1980" w:hanging="1980"/>
      </w:pPr>
    </w:p>
    <w:p w:rsidR="004764BC" w:rsidRDefault="004764BC" w:rsidP="004764B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Reagenzglasständer</w:t>
      </w:r>
    </w:p>
    <w:p w:rsidR="004764BC" w:rsidRPr="00ED07C2" w:rsidRDefault="004764BC" w:rsidP="004764B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Rotkohl-Indikator, verschiedene Haushaltschemikalien (Essig, Natron, Waschpulver, Rohrreiniger, Wasser, Mineralwasser, o.Ä.)</w:t>
      </w:r>
    </w:p>
    <w:p w:rsidR="004764BC" w:rsidRDefault="004764BC" w:rsidP="004764B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Die verschiedenen Haushaltschemikalien werden jeweils in Reagenzgläser gefüllt und mit Rotkohl-Indikator versetzt (Feststoffe wie Waschpulver werden zuvor in etwas destilliertem Wasser gelöst.). Die Substanzen kö</w:t>
      </w:r>
      <w:r>
        <w:t>n</w:t>
      </w:r>
      <w:r>
        <w:t>nen je nach Farbe einsortiert und angeordnet werden.</w:t>
      </w:r>
    </w:p>
    <w:p w:rsidR="004764BC" w:rsidRDefault="004764BC" w:rsidP="004764BC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Essig und Wein färben sich mit dem Indikator rot. Wasser sorgt für eine blau-violette Färbung. Haushaltsmittel wie Waschmittel oder Rohrreiniger färben sich mit dem Indikator gelb. </w:t>
      </w:r>
    </w:p>
    <w:p w:rsidR="004764BC" w:rsidRDefault="004764BC" w:rsidP="004764BC">
      <w:pPr>
        <w:keepNext/>
        <w:tabs>
          <w:tab w:val="left" w:pos="1701"/>
          <w:tab w:val="left" w:pos="1985"/>
        </w:tabs>
        <w:ind w:left="1980" w:hanging="1980"/>
        <w:jc w:val="left"/>
      </w:pPr>
      <w:r>
        <w:rPr>
          <w:noProof/>
          <w:color w:val="FF0000"/>
          <w:lang w:eastAsia="de-DE"/>
        </w:rPr>
        <w:lastRenderedPageBreak/>
        <w:t xml:space="preserve">            </w:t>
      </w:r>
      <w:r>
        <w:rPr>
          <w:noProof/>
          <w:color w:val="auto"/>
          <w:lang w:eastAsia="de-DE"/>
        </w:rPr>
        <w:drawing>
          <wp:inline distT="0" distB="0" distL="0" distR="0" wp14:anchorId="33161ABA" wp14:editId="720C2AF5">
            <wp:extent cx="4488490" cy="2400300"/>
            <wp:effectExtent l="0" t="0" r="7620" b="0"/>
            <wp:docPr id="115" name="Grafi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16" cy="240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BC" w:rsidRDefault="004764BC" w:rsidP="004764BC">
      <w:pPr>
        <w:pStyle w:val="Beschriftung"/>
        <w:jc w:val="left"/>
      </w:pPr>
      <w:r>
        <w:t xml:space="preserve">                                                    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- Farborgel mit Alltagschemikalien</w:t>
      </w:r>
    </w:p>
    <w:p w:rsidR="004764BC" w:rsidRPr="00FD1EEF" w:rsidRDefault="004764BC" w:rsidP="004764BC">
      <w:pPr>
        <w:tabs>
          <w:tab w:val="left" w:pos="1701"/>
          <w:tab w:val="left" w:pos="1985"/>
        </w:tabs>
        <w:ind w:left="1980" w:hanging="1980"/>
        <w:jc w:val="center"/>
        <w:rPr>
          <w:color w:val="FF0000"/>
        </w:rPr>
      </w:pPr>
      <w:r>
        <w:rPr>
          <w:noProof/>
          <w:color w:val="FF0000"/>
          <w:lang w:eastAsia="de-DE"/>
        </w:rPr>
        <w:t xml:space="preserve">       </w:t>
      </w:r>
    </w:p>
    <w:p w:rsidR="004764BC" w:rsidRDefault="004764BC" w:rsidP="004764BC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Rotkohl verändert je nach pH-Wert die Farbe. Dadurch kann man ihn gut als Indikator verwenden. Hierbei können alle pH-Wert-Bereiche abgedeckt werden (von sauer bis basisch). Die unterschiedliche Farbigkeit kommt durch die Änderung der </w:t>
      </w:r>
      <w:proofErr w:type="gramStart"/>
      <w:r>
        <w:t>chemische</w:t>
      </w:r>
      <w:proofErr w:type="gramEnd"/>
      <w:r>
        <w:t xml:space="preserve"> Struktur des Farbstoffes in </w:t>
      </w:r>
      <w:proofErr w:type="spellStart"/>
      <w:r>
        <w:t>protonierter</w:t>
      </w:r>
      <w:proofErr w:type="spellEnd"/>
      <w:r>
        <w:t xml:space="preserve"> bzw. </w:t>
      </w:r>
      <w:proofErr w:type="spellStart"/>
      <w:r>
        <w:t>deprotonierter</w:t>
      </w:r>
      <w:proofErr w:type="spellEnd"/>
      <w:r>
        <w:t xml:space="preserve"> Form vor. Stark saure Substanze werden intensiv rot gefärbt (Abbildung 5, linker Bereich). Neutrale Chemikalien besitzen eine blau-violette Farbe. Stark basische Chemikalien, wie Rohrreiniger, sind leuchtend gelb gefärbt. Abstufungen im basischen Bereich bilden sich von blau über grün bis zu gelb, je nach Basenstärke (Abbildung 5, rechter B</w:t>
      </w:r>
      <w:r>
        <w:t>e</w:t>
      </w:r>
      <w:r>
        <w:t>reich).</w:t>
      </w:r>
    </w:p>
    <w:p w:rsidR="004764BC" w:rsidRDefault="004764BC" w:rsidP="004764BC">
      <w:pPr>
        <w:tabs>
          <w:tab w:val="left" w:pos="1701"/>
          <w:tab w:val="left" w:pos="1985"/>
        </w:tabs>
        <w:ind w:left="1985" w:hanging="1985"/>
      </w:pPr>
      <w:r>
        <w:t>Entsorgung:</w:t>
      </w:r>
      <w:r>
        <w:tab/>
      </w:r>
      <w:r>
        <w:tab/>
        <w:t>Die Entsorgung erfolgt über den Abfluss.</w:t>
      </w:r>
    </w:p>
    <w:p w:rsidR="004764BC" w:rsidRDefault="004764BC" w:rsidP="004764BC">
      <w:pPr>
        <w:ind w:left="1985" w:hanging="1985"/>
      </w:pPr>
      <w:r>
        <w:t>Literatur:</w:t>
      </w:r>
      <w:r>
        <w:tab/>
        <w:t xml:space="preserve">Prof. Blume </w:t>
      </w:r>
      <w:r w:rsidRPr="00C92ACB">
        <w:t>http://www.chemieunterricht.de/dc2/tip/rotkohl.htm</w:t>
      </w:r>
      <w:r>
        <w:t xml:space="preserve"> (z</w:t>
      </w:r>
      <w:r>
        <w:t>u</w:t>
      </w:r>
      <w:r>
        <w:t>letzt aufgerufen am 30.07.16 um 15:05Uhr)</w:t>
      </w:r>
    </w:p>
    <w:p w:rsidR="004764BC" w:rsidRPr="006B1D28" w:rsidRDefault="004764BC" w:rsidP="004764BC">
      <w:pPr>
        <w:ind w:left="1985" w:hanging="1985"/>
        <w:rPr>
          <w:rFonts w:asciiTheme="majorHAnsi" w:hAnsiTheme="majorHAnsi"/>
        </w:rPr>
      </w:pPr>
      <w:r>
        <w:t>Anmerkung:</w:t>
      </w:r>
      <w:r>
        <w:tab/>
        <w:t>Je nach Ergänzung der Farborgel sind andere Sicherheitsaspekte zu beac</w:t>
      </w:r>
      <w:r>
        <w:t>h</w:t>
      </w:r>
      <w:r>
        <w:t xml:space="preserve">ten. </w:t>
      </w:r>
    </w:p>
    <w:p w:rsidR="00431CD4" w:rsidRDefault="004764BC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7D8ED97" wp14:editId="381FABF9">
                <wp:extent cx="5760720" cy="1095375"/>
                <wp:effectExtent l="0" t="0" r="11430" b="28575"/>
                <wp:docPr id="31" name="Textfeld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95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4BC" w:rsidRPr="00F31EBF" w:rsidRDefault="004764BC" w:rsidP="004764BC">
                            <w:pPr>
                              <w:rPr>
                                <w:color w:val="auto"/>
                              </w:rPr>
                            </w:pPr>
                            <w:r w:rsidRPr="00F31EBF">
                              <w:rPr>
                                <w:b/>
                                <w:color w:val="auto"/>
                              </w:rPr>
                              <w:t xml:space="preserve">Unterrichtsanschlüsse </w:t>
                            </w:r>
                            <w:r>
                              <w:rPr>
                                <w:color w:val="auto"/>
                              </w:rPr>
                              <w:t xml:space="preserve">Dieses Experiment bietet sich sowohl als Einstieg als auch zum Schluss einer Unterrichtseinheit zur Säure-Base Chemie an. Es kann individuell erweitert und umgewandelt werden. Die gleiche Farborgel kann mit Chemikalien aus dem Labor hergestellt und somit mit den Haushaltschemikalien verglichen werden. </w:t>
                            </w:r>
                          </w:p>
                          <w:p w:rsidR="004764BC" w:rsidRPr="00F31EBF" w:rsidRDefault="004764BC" w:rsidP="004764BC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81" o:spid="_x0000_s1027" type="#_x0000_t202" style="width:453.6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" strokecolor="#c0504d" strokeweight="1pt">
                <v:stroke dashstyle="dash"/>
                <v:shadow color="#868686"/>
                <v:textbox>
                  <w:txbxContent>
                    <w:p w:rsidR="004764BC" w:rsidRPr="00F31EBF" w:rsidRDefault="004764BC" w:rsidP="004764BC">
                      <w:pPr>
                        <w:rPr>
                          <w:color w:val="auto"/>
                        </w:rPr>
                      </w:pPr>
                      <w:r w:rsidRPr="00F31EBF">
                        <w:rPr>
                          <w:b/>
                          <w:color w:val="auto"/>
                        </w:rPr>
                        <w:t xml:space="preserve">Unterrichtsanschlüsse </w:t>
                      </w:r>
                      <w:r>
                        <w:rPr>
                          <w:color w:val="auto"/>
                        </w:rPr>
                        <w:t xml:space="preserve">Dieses Experiment bietet sich sowohl als Einstieg als auch zum Schluss einer Unterrichtseinheit zur Säure-Base Chemie an. Es kann individuell erweitert und umgewandelt werden. Die gleiche Farborgel kann mit Chemikalien aus dem Labor hergestellt und somit mit den Haushaltschemikalien verglichen werden. </w:t>
                      </w:r>
                    </w:p>
                    <w:p w:rsidR="004764BC" w:rsidRPr="00F31EBF" w:rsidRDefault="004764BC" w:rsidP="004764BC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31C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9F"/>
    <w:rsid w:val="00431CD4"/>
    <w:rsid w:val="004764BC"/>
    <w:rsid w:val="00C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64B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64B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764B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764B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64B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64B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64B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64B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64B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64B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64B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64B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764B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64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64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64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6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6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6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764B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64BC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64B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64B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764B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764B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64B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64B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64B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64B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64B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64B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64B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64B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764B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64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64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64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6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6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6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764B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64B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</dc:creator>
  <cp:keywords/>
  <dc:description/>
  <cp:lastModifiedBy>Tabea</cp:lastModifiedBy>
  <cp:revision>2</cp:revision>
  <dcterms:created xsi:type="dcterms:W3CDTF">2016-08-09T07:35:00Z</dcterms:created>
  <dcterms:modified xsi:type="dcterms:W3CDTF">2016-08-09T07:36:00Z</dcterms:modified>
</cp:coreProperties>
</file>