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24" w:rsidRPr="00CC307A" w:rsidRDefault="00ED4124" w:rsidP="00ED4124">
      <w:pPr>
        <w:pStyle w:val="berschrift2"/>
        <w:rPr>
          <w:color w:val="auto"/>
        </w:rPr>
      </w:pPr>
      <w:bookmarkStart w:id="0" w:name="_Toc457758476"/>
      <w:r w:rsidRPr="00CC307A">
        <w:rPr>
          <w:color w:val="auto"/>
        </w:rPr>
        <w:t>V2 –</w:t>
      </w:r>
      <w:r>
        <w:rPr>
          <w:color w:val="auto"/>
        </w:rPr>
        <w:t xml:space="preserve"> Bestimmung des Ca</w:t>
      </w:r>
      <w:r>
        <w:rPr>
          <w:color w:val="auto"/>
          <w:vertAlign w:val="superscript"/>
        </w:rPr>
        <w:t>2+</w:t>
      </w:r>
      <w:r>
        <w:rPr>
          <w:color w:val="auto"/>
        </w:rPr>
        <w:noBreakHyphen/>
        <w:t xml:space="preserve"> Gehalts in einer Wasserprobe mittels komplexometr</w:t>
      </w:r>
      <w:r>
        <w:rPr>
          <w:color w:val="auto"/>
        </w:rPr>
        <w:t>i</w:t>
      </w:r>
      <w:r>
        <w:rPr>
          <w:color w:val="auto"/>
        </w:rPr>
        <w:t>scher Titration</w:t>
      </w:r>
      <w:bookmarkEnd w:id="0"/>
    </w:p>
    <w:p w:rsidR="00ED4124" w:rsidRDefault="00ED4124" w:rsidP="00ED4124">
      <w:pPr>
        <w:pStyle w:val="berschrift2"/>
        <w:numPr>
          <w:ilvl w:val="0"/>
          <w:numId w:val="0"/>
        </w:numPr>
      </w:pPr>
      <w:r w:rsidRPr="00D837BB">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23.95pt;width:462.45pt;height:123.65pt;z-index:251660288;mso-width-relative:margin;mso-height-relative:margin" fillcolor="white [3201]" strokecolor="#4bacc6 [3208]" strokeweight="1pt">
            <v:stroke dashstyle="dash"/>
            <v:shadow color="#868686"/>
            <v:textbox style="mso-next-textbox:#_x0000_s1027">
              <w:txbxContent>
                <w:p w:rsidR="00ED4124" w:rsidRPr="00F31EBF" w:rsidRDefault="00ED4124" w:rsidP="00ED4124">
                  <w:pPr>
                    <w:rPr>
                      <w:color w:val="auto"/>
                    </w:rPr>
                  </w:pPr>
                  <w:r>
                    <w:rPr>
                      <w:color w:val="auto"/>
                    </w:rPr>
                    <w:t xml:space="preserve">In diesem Versuch wird der Calcium-Gehalt in einer Wasserprobe mithilfe einer </w:t>
                  </w:r>
                  <w:proofErr w:type="spellStart"/>
                  <w:r>
                    <w:rPr>
                      <w:color w:val="auto"/>
                    </w:rPr>
                    <w:t>komplexometrischen</w:t>
                  </w:r>
                  <w:proofErr w:type="spellEnd"/>
                  <w:r>
                    <w:rPr>
                      <w:color w:val="auto"/>
                    </w:rPr>
                    <w:t xml:space="preserve"> Titration ermittelt. Für diesen Versuch sollten die Grundlagen der Titr</w:t>
                  </w:r>
                  <w:r>
                    <w:rPr>
                      <w:color w:val="auto"/>
                    </w:rPr>
                    <w:t>a</w:t>
                  </w:r>
                  <w:r>
                    <w:rPr>
                      <w:color w:val="auto"/>
                    </w:rPr>
                    <w:t xml:space="preserve">tion als Vorwissen bei den Schülerinnen und Schülern präsent sein. Didaktisch reduziert wird hier, dass nicht auf die besonderen Eigenschaften des EDTA, dass es </w:t>
                  </w:r>
                  <w:proofErr w:type="spellStart"/>
                  <w:r>
                    <w:rPr>
                      <w:color w:val="auto"/>
                    </w:rPr>
                    <w:t>Chelatkomplexe</w:t>
                  </w:r>
                  <w:proofErr w:type="spellEnd"/>
                  <w:r>
                    <w:rPr>
                      <w:color w:val="auto"/>
                    </w:rPr>
                    <w:t xml:space="preserve"> ausbilden kann, eingegangen wird. Des Weiteren wird auch nicht auf die Komplexstruktur eingegangen, da dies für die Schülerinnen und Schüler schwer zu begreifen ist.</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D4124" w:rsidRPr="009C5E28" w:rsidTr="00B048C9">
        <w:tc>
          <w:tcPr>
            <w:tcW w:w="9322" w:type="dxa"/>
            <w:gridSpan w:val="9"/>
            <w:shd w:val="clear" w:color="auto" w:fill="4F81BD"/>
            <w:vAlign w:val="center"/>
          </w:tcPr>
          <w:p w:rsidR="00ED4124" w:rsidRPr="00F31EBF" w:rsidRDefault="00ED4124" w:rsidP="00B048C9">
            <w:pPr>
              <w:spacing w:after="0"/>
              <w:jc w:val="center"/>
              <w:rPr>
                <w:b/>
                <w:bCs/>
                <w:color w:val="FFFFFF" w:themeColor="background1"/>
              </w:rPr>
            </w:pPr>
            <w:r w:rsidRPr="00F31EBF">
              <w:rPr>
                <w:b/>
                <w:bCs/>
                <w:color w:val="FFFFFF" w:themeColor="background1"/>
              </w:rPr>
              <w:t>Gefahrenstoffe</w:t>
            </w:r>
          </w:p>
        </w:tc>
      </w:tr>
      <w:tr w:rsidR="00ED4124" w:rsidRPr="009C5E28" w:rsidTr="00B048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D4124" w:rsidRPr="009C5E28" w:rsidRDefault="00ED4124" w:rsidP="00B048C9">
            <w:pPr>
              <w:spacing w:after="0" w:line="276" w:lineRule="auto"/>
              <w:jc w:val="center"/>
              <w:rPr>
                <w:b/>
                <w:bCs/>
              </w:rPr>
            </w:pPr>
            <w:r>
              <w:rPr>
                <w:sz w:val="20"/>
              </w:rPr>
              <w:t>EDTA (</w:t>
            </w:r>
            <w:proofErr w:type="spellStart"/>
            <w:r>
              <w:rPr>
                <w:sz w:val="20"/>
              </w:rPr>
              <w:t>Ethylendiamintetraessigsäure</w:t>
            </w:r>
            <w:proofErr w:type="spellEnd"/>
            <w:r>
              <w:rPr>
                <w:sz w:val="20"/>
              </w:rPr>
              <w:t>)</w:t>
            </w:r>
          </w:p>
        </w:tc>
        <w:tc>
          <w:tcPr>
            <w:tcW w:w="3177" w:type="dxa"/>
            <w:gridSpan w:val="3"/>
            <w:tcBorders>
              <w:top w:val="single" w:sz="8" w:space="0" w:color="4F81BD"/>
              <w:bottom w:val="single" w:sz="8" w:space="0" w:color="4F81BD"/>
            </w:tcBorders>
            <w:shd w:val="clear" w:color="auto" w:fill="auto"/>
            <w:vAlign w:val="center"/>
          </w:tcPr>
          <w:p w:rsidR="00ED4124" w:rsidRPr="009C5E28" w:rsidRDefault="00ED4124" w:rsidP="00B048C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D4124" w:rsidRPr="009C5E28" w:rsidRDefault="00ED4124" w:rsidP="00B048C9">
            <w:pPr>
              <w:spacing w:after="0"/>
              <w:jc w:val="center"/>
            </w:pPr>
            <w:r w:rsidRPr="009C5E28">
              <w:rPr>
                <w:sz w:val="20"/>
              </w:rPr>
              <w:t xml:space="preserve">P: </w:t>
            </w:r>
            <w:r>
              <w:t>-</w:t>
            </w:r>
          </w:p>
        </w:tc>
      </w:tr>
      <w:tr w:rsidR="00ED4124" w:rsidRPr="009C5E28" w:rsidTr="00B048C9">
        <w:trPr>
          <w:trHeight w:val="434"/>
        </w:trPr>
        <w:tc>
          <w:tcPr>
            <w:tcW w:w="3027" w:type="dxa"/>
            <w:gridSpan w:val="3"/>
            <w:shd w:val="clear" w:color="auto" w:fill="auto"/>
            <w:vAlign w:val="center"/>
          </w:tcPr>
          <w:p w:rsidR="00ED4124" w:rsidRPr="009C5E28" w:rsidRDefault="00ED4124" w:rsidP="00B048C9">
            <w:pPr>
              <w:spacing w:after="0" w:line="276" w:lineRule="auto"/>
              <w:jc w:val="center"/>
              <w:rPr>
                <w:bCs/>
                <w:sz w:val="20"/>
              </w:rPr>
            </w:pPr>
            <w:r>
              <w:rPr>
                <w:color w:val="auto"/>
                <w:sz w:val="20"/>
                <w:szCs w:val="20"/>
              </w:rPr>
              <w:t>Ammoniak</w:t>
            </w:r>
          </w:p>
        </w:tc>
        <w:tc>
          <w:tcPr>
            <w:tcW w:w="3177" w:type="dxa"/>
            <w:gridSpan w:val="3"/>
            <w:shd w:val="clear" w:color="auto" w:fill="auto"/>
            <w:vAlign w:val="center"/>
          </w:tcPr>
          <w:p w:rsidR="00ED4124" w:rsidRPr="009C5E28" w:rsidRDefault="00ED4124" w:rsidP="00B048C9">
            <w:pPr>
              <w:pStyle w:val="Beschriftung"/>
              <w:spacing w:after="0"/>
              <w:jc w:val="center"/>
              <w:rPr>
                <w:sz w:val="20"/>
              </w:rPr>
            </w:pPr>
            <w:r w:rsidRPr="009C5E28">
              <w:rPr>
                <w:sz w:val="20"/>
              </w:rPr>
              <w:t xml:space="preserve">H: </w:t>
            </w:r>
            <w:r>
              <w:rPr>
                <w:sz w:val="20"/>
              </w:rPr>
              <w:t>221, 280,331, 314, 400</w:t>
            </w:r>
          </w:p>
        </w:tc>
        <w:tc>
          <w:tcPr>
            <w:tcW w:w="3118" w:type="dxa"/>
            <w:gridSpan w:val="3"/>
            <w:shd w:val="clear" w:color="auto" w:fill="auto"/>
            <w:vAlign w:val="center"/>
          </w:tcPr>
          <w:p w:rsidR="00ED4124" w:rsidRPr="009C5E28" w:rsidRDefault="00ED4124" w:rsidP="00B048C9">
            <w:pPr>
              <w:pStyle w:val="Beschriftung"/>
              <w:spacing w:after="0"/>
              <w:jc w:val="center"/>
              <w:rPr>
                <w:sz w:val="20"/>
              </w:rPr>
            </w:pPr>
            <w:r w:rsidRPr="009C5E28">
              <w:rPr>
                <w:sz w:val="20"/>
              </w:rPr>
              <w:t xml:space="preserve">P: </w:t>
            </w:r>
            <w:r w:rsidRPr="000D1D5D">
              <w:rPr>
                <w:sz w:val="20"/>
              </w:rPr>
              <w:t>210, 260, 280, 27</w:t>
            </w:r>
            <w:r>
              <w:rPr>
                <w:sz w:val="20"/>
              </w:rPr>
              <w:t>3, 304+ 340, 303+ 361+ 353, 305+ 351 338, 315,377, 381</w:t>
            </w:r>
          </w:p>
        </w:tc>
      </w:tr>
      <w:tr w:rsidR="00ED4124" w:rsidRPr="009C5E28" w:rsidTr="00B048C9">
        <w:trPr>
          <w:trHeight w:val="434"/>
        </w:trPr>
        <w:tc>
          <w:tcPr>
            <w:tcW w:w="3027" w:type="dxa"/>
            <w:gridSpan w:val="3"/>
            <w:shd w:val="clear" w:color="auto" w:fill="auto"/>
            <w:vAlign w:val="center"/>
          </w:tcPr>
          <w:p w:rsidR="00ED4124" w:rsidRDefault="00ED4124" w:rsidP="00B048C9">
            <w:pPr>
              <w:spacing w:after="0" w:line="276" w:lineRule="auto"/>
              <w:jc w:val="center"/>
              <w:rPr>
                <w:color w:val="auto"/>
                <w:sz w:val="20"/>
                <w:szCs w:val="20"/>
              </w:rPr>
            </w:pPr>
            <w:r>
              <w:rPr>
                <w:color w:val="auto"/>
                <w:sz w:val="20"/>
                <w:szCs w:val="20"/>
              </w:rPr>
              <w:t>Wasserprobe</w:t>
            </w:r>
          </w:p>
        </w:tc>
        <w:tc>
          <w:tcPr>
            <w:tcW w:w="3177" w:type="dxa"/>
            <w:gridSpan w:val="3"/>
            <w:shd w:val="clear" w:color="auto" w:fill="auto"/>
            <w:vAlign w:val="center"/>
          </w:tcPr>
          <w:p w:rsidR="00ED4124" w:rsidRPr="009C5E28" w:rsidRDefault="00ED4124" w:rsidP="00B048C9">
            <w:pPr>
              <w:pStyle w:val="Beschriftung"/>
              <w:spacing w:after="0"/>
              <w:jc w:val="center"/>
              <w:rPr>
                <w:sz w:val="20"/>
              </w:rPr>
            </w:pPr>
            <w:r>
              <w:rPr>
                <w:sz w:val="20"/>
              </w:rPr>
              <w:t xml:space="preserve">H: 312+ 332, 315, 319, 335, 372, 400, , </w:t>
            </w:r>
          </w:p>
        </w:tc>
        <w:tc>
          <w:tcPr>
            <w:tcW w:w="3118" w:type="dxa"/>
            <w:gridSpan w:val="3"/>
            <w:shd w:val="clear" w:color="auto" w:fill="auto"/>
            <w:vAlign w:val="center"/>
          </w:tcPr>
          <w:p w:rsidR="00ED4124" w:rsidRPr="009C5E28" w:rsidRDefault="00ED4124" w:rsidP="00B048C9">
            <w:pPr>
              <w:pStyle w:val="Beschriftung"/>
              <w:spacing w:after="0"/>
              <w:jc w:val="center"/>
              <w:rPr>
                <w:sz w:val="20"/>
              </w:rPr>
            </w:pPr>
            <w:r>
              <w:rPr>
                <w:sz w:val="20"/>
              </w:rPr>
              <w:t>P: 273, 302+ 352, 305+ 351+ 338, 314</w:t>
            </w:r>
          </w:p>
        </w:tc>
      </w:tr>
      <w:tr w:rsidR="00ED4124" w:rsidRPr="009C5E28" w:rsidTr="00B048C9">
        <w:trPr>
          <w:trHeight w:val="434"/>
        </w:trPr>
        <w:tc>
          <w:tcPr>
            <w:tcW w:w="3027" w:type="dxa"/>
            <w:gridSpan w:val="3"/>
            <w:shd w:val="clear" w:color="auto" w:fill="auto"/>
            <w:vAlign w:val="center"/>
          </w:tcPr>
          <w:p w:rsidR="00ED4124" w:rsidRDefault="00ED4124" w:rsidP="00B048C9">
            <w:pPr>
              <w:spacing w:after="0" w:line="276" w:lineRule="auto"/>
              <w:jc w:val="center"/>
              <w:rPr>
                <w:color w:val="auto"/>
                <w:sz w:val="20"/>
                <w:szCs w:val="20"/>
              </w:rPr>
            </w:pPr>
            <w:r>
              <w:rPr>
                <w:color w:val="auto"/>
                <w:sz w:val="20"/>
                <w:szCs w:val="20"/>
              </w:rPr>
              <w:t>Indikator-Puffertabletten</w:t>
            </w:r>
          </w:p>
        </w:tc>
        <w:tc>
          <w:tcPr>
            <w:tcW w:w="3177" w:type="dxa"/>
            <w:gridSpan w:val="3"/>
            <w:shd w:val="clear" w:color="auto" w:fill="auto"/>
            <w:vAlign w:val="center"/>
          </w:tcPr>
          <w:p w:rsidR="00ED4124" w:rsidRDefault="00ED4124" w:rsidP="00B048C9">
            <w:pPr>
              <w:pStyle w:val="Beschriftung"/>
              <w:spacing w:after="0"/>
              <w:jc w:val="center"/>
              <w:rPr>
                <w:sz w:val="20"/>
              </w:rPr>
            </w:pPr>
            <w:r>
              <w:rPr>
                <w:sz w:val="20"/>
              </w:rPr>
              <w:t>H:-</w:t>
            </w:r>
          </w:p>
        </w:tc>
        <w:tc>
          <w:tcPr>
            <w:tcW w:w="3118" w:type="dxa"/>
            <w:gridSpan w:val="3"/>
            <w:shd w:val="clear" w:color="auto" w:fill="auto"/>
            <w:vAlign w:val="center"/>
          </w:tcPr>
          <w:p w:rsidR="00ED4124" w:rsidRDefault="00ED4124" w:rsidP="00B048C9">
            <w:pPr>
              <w:pStyle w:val="Beschriftung"/>
              <w:spacing w:after="0"/>
              <w:jc w:val="center"/>
              <w:rPr>
                <w:sz w:val="20"/>
              </w:rPr>
            </w:pPr>
            <w:r>
              <w:rPr>
                <w:sz w:val="20"/>
              </w:rPr>
              <w:t>P:-</w:t>
            </w:r>
          </w:p>
        </w:tc>
      </w:tr>
      <w:tr w:rsidR="00ED4124" w:rsidRPr="009C5E28" w:rsidTr="00B048C9">
        <w:tc>
          <w:tcPr>
            <w:tcW w:w="1009" w:type="dxa"/>
            <w:tcBorders>
              <w:top w:val="single" w:sz="8" w:space="0" w:color="4F81BD"/>
              <w:left w:val="single" w:sz="8" w:space="0" w:color="4F81BD"/>
              <w:bottom w:val="single" w:sz="8" w:space="0" w:color="4F81BD"/>
            </w:tcBorders>
            <w:shd w:val="clear" w:color="auto" w:fill="auto"/>
            <w:vAlign w:val="center"/>
          </w:tcPr>
          <w:p w:rsidR="00ED4124" w:rsidRPr="009C5E28" w:rsidRDefault="00ED4124" w:rsidP="00B048C9">
            <w:pPr>
              <w:spacing w:after="0"/>
              <w:jc w:val="center"/>
              <w:rPr>
                <w:b/>
                <w:bCs/>
              </w:rPr>
            </w:pPr>
            <w:r>
              <w:rPr>
                <w:b/>
                <w:bCs/>
                <w:noProof/>
                <w:lang w:eastAsia="de-DE"/>
              </w:rPr>
              <w:drawing>
                <wp:inline distT="0" distB="0" distL="0" distR="0">
                  <wp:extent cx="503525" cy="504000"/>
                  <wp:effectExtent l="19050" t="0" r="0" b="0"/>
                  <wp:docPr id="65" name="Bild 50" descr="C:\Users\Kristina\Documents\SVP CHEMIE\Piktogramm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Kristina\Documents\SVP CHEMIE\Piktogramme\Piktogramme\Ätzend.png"/>
                          <pic:cNvPicPr>
                            <a:picLocks noChangeAspect="1" noChangeArrowheads="1"/>
                          </pic:cNvPicPr>
                        </pic:nvPicPr>
                        <pic:blipFill>
                          <a:blip r:embed="rId5" cstate="print"/>
                          <a:srcRect/>
                          <a:stretch>
                            <a:fillRect/>
                          </a:stretch>
                        </pic:blipFill>
                        <pic:spPr bwMode="auto">
                          <a:xfrm>
                            <a:off x="0" y="0"/>
                            <a:ext cx="503525"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4124" w:rsidRPr="009C5E28" w:rsidRDefault="00ED4124" w:rsidP="00B048C9">
            <w:pPr>
              <w:spacing w:after="0"/>
              <w:jc w:val="center"/>
            </w:pPr>
            <w:r>
              <w:rPr>
                <w:noProof/>
                <w:lang w:eastAsia="de-DE"/>
              </w:rPr>
              <w:drawing>
                <wp:inline distT="0" distB="0" distL="0" distR="0">
                  <wp:extent cx="504190" cy="504190"/>
                  <wp:effectExtent l="0" t="0" r="0" b="0"/>
                  <wp:docPr id="5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4124" w:rsidRPr="009C5E28" w:rsidRDefault="00ED4124" w:rsidP="00B048C9">
            <w:pPr>
              <w:spacing w:after="0"/>
              <w:jc w:val="center"/>
            </w:pPr>
            <w:r>
              <w:rPr>
                <w:noProof/>
                <w:lang w:eastAsia="de-DE"/>
              </w:rPr>
              <w:drawing>
                <wp:inline distT="0" distB="0" distL="0" distR="0">
                  <wp:extent cx="504190" cy="504190"/>
                  <wp:effectExtent l="0" t="0" r="0" b="0"/>
                  <wp:docPr id="5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4124" w:rsidRPr="009C5E28" w:rsidRDefault="00ED4124" w:rsidP="00B048C9">
            <w:pPr>
              <w:spacing w:after="0"/>
              <w:jc w:val="center"/>
            </w:pPr>
            <w:r>
              <w:rPr>
                <w:noProof/>
                <w:lang w:eastAsia="de-DE"/>
              </w:rPr>
              <w:drawing>
                <wp:inline distT="0" distB="0" distL="0" distR="0">
                  <wp:extent cx="504190" cy="504190"/>
                  <wp:effectExtent l="0" t="0" r="0" b="0"/>
                  <wp:docPr id="5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D4124" w:rsidRPr="009C5E28" w:rsidRDefault="00ED4124" w:rsidP="00B048C9">
            <w:pPr>
              <w:spacing w:after="0"/>
              <w:jc w:val="center"/>
            </w:pPr>
            <w:r>
              <w:rPr>
                <w:noProof/>
                <w:lang w:eastAsia="de-DE"/>
              </w:rPr>
              <w:drawing>
                <wp:inline distT="0" distB="0" distL="0" distR="0">
                  <wp:extent cx="498852" cy="504000"/>
                  <wp:effectExtent l="19050" t="0" r="0" b="0"/>
                  <wp:docPr id="63" name="Bild 48" descr="C:\Users\Kristina\Documents\SVP CHEMIE\Piktogramm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Kristina\Documents\SVP CHEMIE\Piktogramme\Piktogramme\Gasflasche.png"/>
                          <pic:cNvPicPr>
                            <a:picLocks noChangeAspect="1" noChangeArrowheads="1"/>
                          </pic:cNvPicPr>
                        </pic:nvPicPr>
                        <pic:blipFill>
                          <a:blip r:embed="rId9" cstate="print"/>
                          <a:srcRect/>
                          <a:stretch>
                            <a:fillRect/>
                          </a:stretch>
                        </pic:blipFill>
                        <pic:spPr bwMode="auto">
                          <a:xfrm>
                            <a:off x="0" y="0"/>
                            <a:ext cx="498852" cy="504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D4124" w:rsidRPr="009C5E28" w:rsidRDefault="00ED4124" w:rsidP="00B048C9">
            <w:pPr>
              <w:spacing w:after="0"/>
              <w:jc w:val="center"/>
            </w:pPr>
            <w:r>
              <w:rPr>
                <w:noProof/>
                <w:lang w:eastAsia="de-DE"/>
              </w:rPr>
              <w:drawing>
                <wp:inline distT="0" distB="0" distL="0" distR="0">
                  <wp:extent cx="504190" cy="504190"/>
                  <wp:effectExtent l="0" t="0" r="0" b="0"/>
                  <wp:docPr id="5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D4124" w:rsidRPr="009C5E28" w:rsidRDefault="00ED4124" w:rsidP="00B048C9">
            <w:pPr>
              <w:spacing w:after="0"/>
              <w:jc w:val="center"/>
            </w:pPr>
            <w:r>
              <w:rPr>
                <w:noProof/>
                <w:lang w:eastAsia="de-DE"/>
              </w:rPr>
              <w:drawing>
                <wp:inline distT="0" distB="0" distL="0" distR="0">
                  <wp:extent cx="503525" cy="504000"/>
                  <wp:effectExtent l="19050" t="0" r="0" b="0"/>
                  <wp:docPr id="64" name="Bild 49" descr="C:\Users\Kristina\Documents\SVP CHEMIE\Piktogramm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Kristina\Documents\SVP CHEMIE\Piktogramme\Piktogramme\Giftig.png"/>
                          <pic:cNvPicPr>
                            <a:picLocks noChangeAspect="1" noChangeArrowheads="1"/>
                          </pic:cNvPicPr>
                        </pic:nvPicPr>
                        <pic:blipFill>
                          <a:blip r:embed="rId11" cstate="print"/>
                          <a:srcRect/>
                          <a:stretch>
                            <a:fillRect/>
                          </a:stretch>
                        </pic:blipFill>
                        <pic:spPr bwMode="auto">
                          <a:xfrm>
                            <a:off x="0" y="0"/>
                            <a:ext cx="503525"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4124" w:rsidRPr="009C5E28" w:rsidRDefault="00ED4124" w:rsidP="00B048C9">
            <w:pPr>
              <w:spacing w:after="0"/>
              <w:jc w:val="center"/>
            </w:pPr>
            <w:r>
              <w:rPr>
                <w:noProof/>
                <w:lang w:eastAsia="de-DE"/>
              </w:rPr>
              <w:drawing>
                <wp:inline distT="0" distB="0" distL="0" distR="0">
                  <wp:extent cx="503843" cy="504000"/>
                  <wp:effectExtent l="19050" t="0" r="0" b="0"/>
                  <wp:docPr id="66" name="Bild 51" descr="C:\Users\Kristin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Kristina\Documents\SVP CHEMIE\Piktogramme\Piktogramme\Grau\Reizend.png"/>
                          <pic:cNvPicPr>
                            <a:picLocks noChangeAspect="1" noChangeArrowheads="1"/>
                          </pic:cNvPicPr>
                        </pic:nvPicPr>
                        <pic:blipFill>
                          <a:blip r:embed="rId12" cstate="print"/>
                          <a:srcRect/>
                          <a:stretch>
                            <a:fillRect/>
                          </a:stretch>
                        </pic:blipFill>
                        <pic:spPr bwMode="auto">
                          <a:xfrm>
                            <a:off x="0" y="0"/>
                            <a:ext cx="503843"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D4124" w:rsidRPr="009C5E28" w:rsidRDefault="00ED4124" w:rsidP="00B048C9">
            <w:pPr>
              <w:spacing w:after="0"/>
              <w:jc w:val="center"/>
            </w:pPr>
            <w:r>
              <w:rPr>
                <w:noProof/>
                <w:lang w:eastAsia="de-DE"/>
              </w:rPr>
              <w:drawing>
                <wp:inline distT="0" distB="0" distL="0" distR="0">
                  <wp:extent cx="504040" cy="504000"/>
                  <wp:effectExtent l="19050" t="0" r="0" b="0"/>
                  <wp:docPr id="60" name="Bild 2" descr="C:\Users\Kristina\Documents\SVP CHEMIE\Piktogramm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ocuments\SVP CHEMIE\Piktogramme\Piktogramme\Umweltgefahr.png"/>
                          <pic:cNvPicPr>
                            <a:picLocks noChangeAspect="1" noChangeArrowheads="1"/>
                          </pic:cNvPicPr>
                        </pic:nvPicPr>
                        <pic:blipFill>
                          <a:blip r:embed="rId13" cstate="print"/>
                          <a:srcRect/>
                          <a:stretch>
                            <a:fillRect/>
                          </a:stretch>
                        </pic:blipFill>
                        <pic:spPr bwMode="auto">
                          <a:xfrm>
                            <a:off x="0" y="0"/>
                            <a:ext cx="504040" cy="504000"/>
                          </a:xfrm>
                          <a:prstGeom prst="rect">
                            <a:avLst/>
                          </a:prstGeom>
                          <a:noFill/>
                          <a:ln w="9525">
                            <a:noFill/>
                            <a:miter lim="800000"/>
                            <a:headEnd/>
                            <a:tailEnd/>
                          </a:ln>
                        </pic:spPr>
                      </pic:pic>
                    </a:graphicData>
                  </a:graphic>
                </wp:inline>
              </w:drawing>
            </w:r>
          </w:p>
        </w:tc>
      </w:tr>
    </w:tbl>
    <w:p w:rsidR="00ED4124" w:rsidRDefault="00ED4124" w:rsidP="00ED4124">
      <w:pPr>
        <w:tabs>
          <w:tab w:val="left" w:pos="1701"/>
          <w:tab w:val="left" w:pos="1985"/>
        </w:tabs>
        <w:ind w:left="1980" w:hanging="1980"/>
      </w:pPr>
    </w:p>
    <w:p w:rsidR="00ED4124" w:rsidRDefault="00ED4124" w:rsidP="00ED4124">
      <w:pPr>
        <w:tabs>
          <w:tab w:val="left" w:pos="1701"/>
          <w:tab w:val="left" w:pos="1985"/>
        </w:tabs>
        <w:ind w:left="1980" w:hanging="1980"/>
      </w:pPr>
      <w:r>
        <w:t xml:space="preserve">Materialien: </w:t>
      </w:r>
      <w:r>
        <w:tab/>
      </w:r>
      <w:r>
        <w:tab/>
        <w:t xml:space="preserve">Bürette, Trichter,, </w:t>
      </w:r>
      <w:proofErr w:type="spellStart"/>
      <w:r>
        <w:t>Magnetrührer</w:t>
      </w:r>
      <w:proofErr w:type="spellEnd"/>
      <w:r>
        <w:t xml:space="preserve">, Pipette, </w:t>
      </w:r>
      <w:proofErr w:type="spellStart"/>
      <w:r>
        <w:t>Peleusball</w:t>
      </w:r>
      <w:proofErr w:type="spellEnd"/>
      <w:r>
        <w:t xml:space="preserve">, Bergerglas (250 </w:t>
      </w:r>
      <w:proofErr w:type="spellStart"/>
      <w:r>
        <w:t>mL</w:t>
      </w:r>
      <w:proofErr w:type="spellEnd"/>
      <w:r>
        <w:t>),</w:t>
      </w:r>
      <w:r w:rsidRPr="003536C5">
        <w:t xml:space="preserve"> </w:t>
      </w:r>
      <w:r>
        <w:t>Stativ, Muffe, weiße Unterlage</w:t>
      </w:r>
    </w:p>
    <w:p w:rsidR="00ED4124" w:rsidRPr="00ED07C2" w:rsidRDefault="00ED4124" w:rsidP="00ED4124">
      <w:pPr>
        <w:tabs>
          <w:tab w:val="left" w:pos="1701"/>
          <w:tab w:val="left" w:pos="1985"/>
        </w:tabs>
        <w:ind w:left="1980" w:hanging="1980"/>
      </w:pPr>
      <w:r>
        <w:t>Chemikalien:</w:t>
      </w:r>
      <w:r>
        <w:tab/>
      </w:r>
      <w:r>
        <w:tab/>
        <w:t>EDTA-Lösung ( 0,01 M), konzentrierter Ammoniak, Wasserprobe, Indik</w:t>
      </w:r>
      <w:r>
        <w:t>a</w:t>
      </w:r>
      <w:r>
        <w:t>tor-Puffertablette</w:t>
      </w:r>
    </w:p>
    <w:p w:rsidR="00ED4124" w:rsidRDefault="00ED4124" w:rsidP="00ED4124">
      <w:pPr>
        <w:tabs>
          <w:tab w:val="left" w:pos="1701"/>
          <w:tab w:val="left" w:pos="1985"/>
        </w:tabs>
        <w:ind w:left="1980" w:hanging="1980"/>
      </w:pPr>
      <w:r>
        <w:t xml:space="preserve">Durchführung: </w:t>
      </w:r>
      <w:r>
        <w:tab/>
      </w:r>
      <w:r>
        <w:tab/>
      </w:r>
      <w:r>
        <w:tab/>
        <w:t xml:space="preserve">Die zu untersuchende Wasserprobe (100 </w:t>
      </w:r>
      <w:proofErr w:type="spellStart"/>
      <w:r>
        <w:t>mL</w:t>
      </w:r>
      <w:proofErr w:type="spellEnd"/>
      <w:r>
        <w:t xml:space="preserve">) wird in ein Becherglas gefüllt und mit einer Indikator-Puffer-Tablette versetzt. Dazu wird 1 </w:t>
      </w:r>
      <w:proofErr w:type="spellStart"/>
      <w:r>
        <w:t>mL</w:t>
      </w:r>
      <w:proofErr w:type="spellEnd"/>
      <w:r>
        <w:t xml:space="preserve"> konze</w:t>
      </w:r>
      <w:r>
        <w:t>n</w:t>
      </w:r>
      <w:r>
        <w:t>trierter Ammoniaklösung gegeben. Die Bürette wird mithilfe des Trichters mit EDTA-Lösung befüllt. Nun wird die Wasserprobe bis zum Farbu</w:t>
      </w:r>
      <w:r>
        <w:t>m</w:t>
      </w:r>
      <w:r>
        <w:t>schlag titriert.</w:t>
      </w:r>
    </w:p>
    <w:p w:rsidR="00ED4124" w:rsidRDefault="00ED4124" w:rsidP="00ED4124">
      <w:pPr>
        <w:tabs>
          <w:tab w:val="left" w:pos="1701"/>
          <w:tab w:val="left" w:pos="1985"/>
        </w:tabs>
        <w:ind w:left="1980" w:hanging="1980"/>
      </w:pPr>
      <w:r>
        <w:t>Beobachtung:</w:t>
      </w:r>
      <w:r>
        <w:tab/>
      </w:r>
      <w:r>
        <w:tab/>
      </w:r>
      <w:r>
        <w:tab/>
        <w:t xml:space="preserve">Bei Zugabe der Indikator-Puffer-Tablette zur Wasserprobe färbt sich die Lösung gelblich. Wird der </w:t>
      </w:r>
      <w:proofErr w:type="spellStart"/>
      <w:r>
        <w:t>konz</w:t>
      </w:r>
      <w:proofErr w:type="spellEnd"/>
      <w:r>
        <w:t>. Ammoniak zugefügt, so färbt sich die gel</w:t>
      </w:r>
      <w:r>
        <w:t>b</w:t>
      </w:r>
      <w:r>
        <w:t>liche Lösung rot. Der Umschlagspunkt ist erreicht, wenn sich die Lösung grau-grün färbt (siehe Abbildung 5).</w:t>
      </w:r>
    </w:p>
    <w:p w:rsidR="00ED4124" w:rsidRDefault="00ED4124" w:rsidP="00ED4124">
      <w:pPr>
        <w:pStyle w:val="Listenabsatz"/>
        <w:keepNext/>
        <w:tabs>
          <w:tab w:val="left" w:pos="1701"/>
          <w:tab w:val="left" w:pos="1985"/>
        </w:tabs>
        <w:jc w:val="center"/>
      </w:pPr>
    </w:p>
    <w:p w:rsidR="00ED4124" w:rsidRDefault="00ED4124" w:rsidP="00ED4124">
      <w:pPr>
        <w:pStyle w:val="Listenabsatz"/>
        <w:keepNext/>
        <w:tabs>
          <w:tab w:val="left" w:pos="1701"/>
          <w:tab w:val="left" w:pos="1985"/>
        </w:tabs>
        <w:ind w:left="1080"/>
        <w:jc w:val="center"/>
      </w:pPr>
      <w:r>
        <w:t>1.</w:t>
      </w:r>
      <w:r>
        <w:rPr>
          <w:noProof/>
          <w:lang w:eastAsia="de-DE"/>
        </w:rPr>
        <w:drawing>
          <wp:inline distT="0" distB="0" distL="0" distR="0">
            <wp:extent cx="1022747" cy="2160000"/>
            <wp:effectExtent l="19050" t="0" r="5953" b="0"/>
            <wp:docPr id="67"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srcRect/>
                    <a:stretch>
                      <a:fillRect/>
                    </a:stretch>
                  </pic:blipFill>
                  <pic:spPr bwMode="auto">
                    <a:xfrm>
                      <a:off x="0" y="0"/>
                      <a:ext cx="1022747" cy="2160000"/>
                    </a:xfrm>
                    <a:prstGeom prst="rect">
                      <a:avLst/>
                    </a:prstGeom>
                    <a:noFill/>
                    <a:ln w="9525">
                      <a:noFill/>
                      <a:miter lim="800000"/>
                      <a:headEnd/>
                      <a:tailEnd/>
                    </a:ln>
                  </pic:spPr>
                </pic:pic>
              </a:graphicData>
            </a:graphic>
          </wp:inline>
        </w:drawing>
      </w:r>
      <w:r>
        <w:tab/>
        <w:t>2.</w:t>
      </w:r>
      <w:r w:rsidRPr="00C253B9">
        <w:t xml:space="preserve"> </w:t>
      </w:r>
      <w:r>
        <w:rPr>
          <w:noProof/>
          <w:lang w:eastAsia="de-DE"/>
        </w:rPr>
        <w:drawing>
          <wp:inline distT="0" distB="0" distL="0" distR="0">
            <wp:extent cx="1134312" cy="2160000"/>
            <wp:effectExtent l="19050" t="0" r="8688" b="0"/>
            <wp:docPr id="68"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srcRect/>
                    <a:stretch>
                      <a:fillRect/>
                    </a:stretch>
                  </pic:blipFill>
                  <pic:spPr bwMode="auto">
                    <a:xfrm>
                      <a:off x="0" y="0"/>
                      <a:ext cx="1134312" cy="2160000"/>
                    </a:xfrm>
                    <a:prstGeom prst="rect">
                      <a:avLst/>
                    </a:prstGeom>
                    <a:noFill/>
                    <a:ln w="9525">
                      <a:noFill/>
                      <a:miter lim="800000"/>
                      <a:headEnd/>
                      <a:tailEnd/>
                    </a:ln>
                  </pic:spPr>
                </pic:pic>
              </a:graphicData>
            </a:graphic>
          </wp:inline>
        </w:drawing>
      </w:r>
    </w:p>
    <w:p w:rsidR="00ED4124" w:rsidRDefault="00ED4124" w:rsidP="00ED4124">
      <w:pPr>
        <w:pStyle w:val="Beschriftung"/>
        <w:jc w:val="center"/>
      </w:pPr>
      <w:r>
        <w:t xml:space="preserve">Abb. 5 – </w:t>
      </w:r>
      <w:r>
        <w:rPr>
          <w:noProof/>
        </w:rPr>
        <w:t>1. Wasserprobe mit Indikator-Puffer-Tablette und Ammoniak. 2. Wasserprobe nach beendeter Titration.</w:t>
      </w:r>
    </w:p>
    <w:p w:rsidR="00ED4124" w:rsidRDefault="00ED4124" w:rsidP="00ED4124">
      <w:pPr>
        <w:tabs>
          <w:tab w:val="left" w:pos="1701"/>
          <w:tab w:val="left" w:pos="1985"/>
        </w:tabs>
        <w:ind w:left="2124" w:hanging="2124"/>
      </w:pPr>
      <w:r>
        <w:t>Deutung:</w:t>
      </w:r>
      <w:r>
        <w:tab/>
      </w:r>
      <w:r>
        <w:tab/>
      </w:r>
      <w:r>
        <w:tab/>
        <w:t xml:space="preserve">Die rote Färbung der Lösung zeigt den </w:t>
      </w:r>
      <w:proofErr w:type="spellStart"/>
      <w:r>
        <w:t>Diammincalcium</w:t>
      </w:r>
      <w:proofErr w:type="spellEnd"/>
      <w:r>
        <w:t xml:space="preserve">-Komplex an. Bei der Zugabe von EDTA findet eine </w:t>
      </w:r>
      <w:proofErr w:type="spellStart"/>
      <w:r>
        <w:t>Ligandenaustauschreaktion</w:t>
      </w:r>
      <w:proofErr w:type="spellEnd"/>
      <w:r>
        <w:t xml:space="preserve"> zwischen dem Ammoniak und dem EDTA statt. Der Calcium-</w:t>
      </w:r>
      <w:proofErr w:type="spellStart"/>
      <w:r>
        <w:t>edta</w:t>
      </w:r>
      <w:proofErr w:type="spellEnd"/>
      <w:r>
        <w:t xml:space="preserve">-Komplex zeigt die grün-graue Färbung. Hier muss für die Schülerinnen und Schüler stark reduziert werden, da die Vorgänge bei einer </w:t>
      </w:r>
      <w:proofErr w:type="spellStart"/>
      <w:r>
        <w:t>Ligandenaustauschreaktion</w:t>
      </w:r>
      <w:proofErr w:type="spellEnd"/>
      <w:r>
        <w:t xml:space="preserve"> und einer Komplexbildung zu kompliziert für diese Klassenstufe ist. Die Reaktion wird als normale Bildung eines Produktes aus zwei Edukten b</w:t>
      </w:r>
      <w:r>
        <w:t>e</w:t>
      </w:r>
      <w:r>
        <w:t>handelt. Dies ist für die Schülerinnen und Schüler einfacher, da sie mit dieser Art der Erklärung vertraut sind. Die Färbung wird nach einer EDTA-Zugabe von 30 </w:t>
      </w:r>
      <w:proofErr w:type="spellStart"/>
      <w:r>
        <w:t>mL</w:t>
      </w:r>
      <w:proofErr w:type="spellEnd"/>
      <w:r>
        <w:t xml:space="preserve"> erreicht. Es laufen folgende Reaktionen ab:</w:t>
      </w:r>
    </w:p>
    <w:p w:rsidR="00ED4124" w:rsidRPr="00C05C0B" w:rsidRDefault="00ED4124" w:rsidP="00ED4124">
      <w:pPr>
        <w:tabs>
          <w:tab w:val="left" w:pos="1701"/>
          <w:tab w:val="left" w:pos="1985"/>
        </w:tabs>
        <w:ind w:left="2124" w:hanging="2124"/>
        <w:rPr>
          <w:rFonts w:eastAsiaTheme="minorEastAsia"/>
          <w:noProof/>
          <w:color w:val="auto"/>
          <w:u w:val="single"/>
        </w:rPr>
      </w:pPr>
      <w:r>
        <w:rPr>
          <w:rFonts w:eastAsiaTheme="minorEastAsia"/>
          <w:noProof/>
          <w:color w:val="FF0000"/>
        </w:rPr>
        <w:tab/>
      </w:r>
      <w:r>
        <w:rPr>
          <w:rFonts w:eastAsiaTheme="minorEastAsia"/>
          <w:noProof/>
          <w:color w:val="FF0000"/>
        </w:rPr>
        <w:tab/>
      </w:r>
      <w:r w:rsidRPr="00916055">
        <w:rPr>
          <w:rFonts w:eastAsiaTheme="minorEastAsia"/>
          <w:noProof/>
          <w:color w:val="FF0000"/>
        </w:rPr>
        <w:tab/>
      </w:r>
      <w:r w:rsidRPr="00C05C0B">
        <w:rPr>
          <w:rFonts w:eastAsiaTheme="minorEastAsia"/>
          <w:noProof/>
          <w:color w:val="auto"/>
          <w:u w:val="single"/>
        </w:rPr>
        <w:t>RG:</w:t>
      </w:r>
      <w:r w:rsidRPr="00C05C0B">
        <w:rPr>
          <w:rFonts w:eastAsiaTheme="minorEastAsia"/>
          <w:noProof/>
          <w:color w:val="auto"/>
        </w:rPr>
        <w:t xml:space="preserve"> [Ca(H</w:t>
      </w:r>
      <w:r w:rsidRPr="00C05C0B">
        <w:rPr>
          <w:rFonts w:eastAsiaTheme="minorEastAsia"/>
          <w:noProof/>
          <w:color w:val="auto"/>
          <w:vertAlign w:val="subscript"/>
        </w:rPr>
        <w:t>2</w:t>
      </w:r>
      <w:r w:rsidRPr="00C05C0B">
        <w:rPr>
          <w:rFonts w:eastAsiaTheme="minorEastAsia"/>
          <w:noProof/>
          <w:color w:val="auto"/>
        </w:rPr>
        <w:t>O)</w:t>
      </w:r>
      <w:r w:rsidRPr="00C05C0B">
        <w:rPr>
          <w:rFonts w:eastAsiaTheme="minorEastAsia"/>
          <w:noProof/>
          <w:color w:val="auto"/>
          <w:vertAlign w:val="subscript"/>
        </w:rPr>
        <w:t>4</w:t>
      </w:r>
      <w:r w:rsidRPr="00C05C0B">
        <w:rPr>
          <w:rFonts w:eastAsiaTheme="minorEastAsia"/>
          <w:noProof/>
          <w:color w:val="auto"/>
        </w:rPr>
        <w:t>]</w:t>
      </w:r>
      <w:r w:rsidRPr="00C05C0B">
        <w:rPr>
          <w:rFonts w:eastAsiaTheme="minorEastAsia"/>
          <w:noProof/>
          <w:color w:val="auto"/>
          <w:vertAlign w:val="superscript"/>
        </w:rPr>
        <w:t>2+</w:t>
      </w:r>
      <w:r w:rsidRPr="00C05C0B">
        <w:rPr>
          <w:rFonts w:eastAsiaTheme="minorEastAsia"/>
          <w:noProof/>
          <w:color w:val="auto"/>
          <w:vertAlign w:val="subscript"/>
        </w:rPr>
        <w:t>(aq)</w:t>
      </w:r>
      <w:r w:rsidRPr="00C05C0B">
        <w:rPr>
          <w:rFonts w:eastAsiaTheme="minorEastAsia"/>
          <w:noProof/>
          <w:color w:val="auto"/>
        </w:rPr>
        <w:t xml:space="preserve"> + H</w:t>
      </w:r>
      <w:r w:rsidRPr="00D77B9E">
        <w:rPr>
          <w:rFonts w:eastAsiaTheme="minorEastAsia"/>
          <w:noProof/>
          <w:color w:val="auto"/>
          <w:vertAlign w:val="subscript"/>
        </w:rPr>
        <w:t>2</w:t>
      </w:r>
      <w:r>
        <w:rPr>
          <w:rFonts w:eastAsiaTheme="minorEastAsia"/>
          <w:noProof/>
          <w:color w:val="auto"/>
        </w:rPr>
        <w:t>EDTA</w:t>
      </w:r>
      <w:r w:rsidRPr="00C05C0B">
        <w:rPr>
          <w:rFonts w:eastAsiaTheme="minorEastAsia"/>
          <w:noProof/>
          <w:color w:val="auto"/>
          <w:vertAlign w:val="superscript"/>
        </w:rPr>
        <w:t>2-</w:t>
      </w:r>
      <w:r>
        <w:rPr>
          <w:rFonts w:eastAsiaTheme="minorEastAsia"/>
          <w:noProof/>
          <w:color w:val="auto"/>
          <w:vertAlign w:val="subscript"/>
        </w:rPr>
        <w:t>(aq)</w:t>
      </w:r>
      <w:r w:rsidRPr="00C05C0B">
        <w:rPr>
          <w:rFonts w:eastAsiaTheme="minorEastAsia"/>
          <w:noProof/>
          <w:color w:val="auto"/>
        </w:rPr>
        <w:t xml:space="preserve"> ⇌ [Ca(</w:t>
      </w:r>
      <w:r>
        <w:rPr>
          <w:rFonts w:eastAsiaTheme="minorEastAsia"/>
          <w:noProof/>
          <w:color w:val="auto"/>
        </w:rPr>
        <w:t>EDTA</w:t>
      </w:r>
      <w:r w:rsidRPr="00C05C0B">
        <w:rPr>
          <w:rFonts w:eastAsiaTheme="minorEastAsia"/>
          <w:noProof/>
          <w:color w:val="auto"/>
        </w:rPr>
        <w:t>)]</w:t>
      </w:r>
      <w:r w:rsidRPr="00C05C0B">
        <w:rPr>
          <w:rFonts w:eastAsiaTheme="minorEastAsia"/>
          <w:noProof/>
          <w:color w:val="auto"/>
          <w:vertAlign w:val="superscript"/>
        </w:rPr>
        <w:t>2-</w:t>
      </w:r>
      <w:r w:rsidRPr="00C05C0B">
        <w:rPr>
          <w:rFonts w:eastAsiaTheme="minorEastAsia"/>
          <w:noProof/>
          <w:color w:val="auto"/>
          <w:vertAlign w:val="subscript"/>
        </w:rPr>
        <w:t>(aq)</w:t>
      </w:r>
      <w:r>
        <w:rPr>
          <w:rFonts w:eastAsiaTheme="minorEastAsia"/>
          <w:noProof/>
          <w:color w:val="auto"/>
        </w:rPr>
        <w:t xml:space="preserve"> + 4 H</w:t>
      </w:r>
      <w:r w:rsidRPr="00C05C0B">
        <w:rPr>
          <w:rFonts w:eastAsiaTheme="minorEastAsia"/>
          <w:noProof/>
          <w:color w:val="auto"/>
          <w:vertAlign w:val="subscript"/>
        </w:rPr>
        <w:t>2</w:t>
      </w:r>
      <w:r>
        <w:rPr>
          <w:rFonts w:eastAsiaTheme="minorEastAsia"/>
          <w:noProof/>
          <w:color w:val="auto"/>
        </w:rPr>
        <w:t>O</w:t>
      </w:r>
      <w:r w:rsidRPr="00C05C0B">
        <w:rPr>
          <w:rFonts w:eastAsiaTheme="minorEastAsia"/>
          <w:noProof/>
          <w:color w:val="auto"/>
          <w:vertAlign w:val="subscript"/>
        </w:rPr>
        <w:t>(l)</w:t>
      </w:r>
    </w:p>
    <w:p w:rsidR="00ED4124" w:rsidRDefault="00ED4124" w:rsidP="00ED4124">
      <w:pPr>
        <w:spacing w:line="276" w:lineRule="auto"/>
        <w:ind w:left="2127"/>
        <w:rPr>
          <w:rFonts w:eastAsiaTheme="minorEastAsia"/>
          <w:noProof/>
        </w:rPr>
      </w:pPr>
      <w:r>
        <w:rPr>
          <w:rFonts w:eastAsiaTheme="minorEastAsia"/>
          <w:noProof/>
        </w:rPr>
        <w:t>Für die Berechnung gilt:</w:t>
      </w:r>
    </w:p>
    <w:p w:rsidR="00ED4124" w:rsidRPr="00F67FFD" w:rsidRDefault="00ED4124" w:rsidP="00ED4124">
      <w:pPr>
        <w:spacing w:line="276" w:lineRule="auto"/>
        <w:ind w:left="2127"/>
        <w:rPr>
          <w:rFonts w:eastAsiaTheme="minorEastAsia"/>
          <w:noProof/>
        </w:rPr>
      </w:pPr>
      <w:r w:rsidRPr="00F67FFD">
        <w:rPr>
          <w:rFonts w:eastAsiaTheme="minorEastAsia"/>
          <w:noProof/>
        </w:rPr>
        <w:t>1 mL EDTA (0,01 M) = 0,5608 °dH = 0,1 mmol Ca</w:t>
      </w:r>
      <w:r w:rsidRPr="00F67FFD">
        <w:rPr>
          <w:rFonts w:eastAsiaTheme="minorEastAsia"/>
          <w:noProof/>
          <w:vertAlign w:val="superscript"/>
        </w:rPr>
        <w:t>2+</w:t>
      </w:r>
      <w:r w:rsidRPr="00F67FFD">
        <w:rPr>
          <w:rFonts w:eastAsiaTheme="minorEastAsia"/>
          <w:noProof/>
        </w:rPr>
        <w:t>/L</w:t>
      </w:r>
    </w:p>
    <w:p w:rsidR="00ED4124" w:rsidRDefault="00ED4124" w:rsidP="00ED4124">
      <w:pPr>
        <w:spacing w:line="276" w:lineRule="auto"/>
        <w:ind w:left="2127"/>
        <w:rPr>
          <w:rFonts w:eastAsiaTheme="minorEastAsia"/>
          <w:noProof/>
        </w:rPr>
      </w:pPr>
      <w:r w:rsidRPr="005E19BC">
        <w:rPr>
          <w:rFonts w:eastAsiaTheme="minorEastAsia"/>
          <w:noProof/>
        </w:rPr>
        <w:t>Da 30 m</w:t>
      </w:r>
      <w:r>
        <w:rPr>
          <w:rFonts w:eastAsiaTheme="minorEastAsia"/>
          <w:noProof/>
        </w:rPr>
        <w:t xml:space="preserve">L verbraucht wurden, liegen in der Wasserprobe 3 mmol </w:t>
      </w:r>
      <w:r w:rsidRPr="005E19BC">
        <w:rPr>
          <w:rFonts w:eastAsiaTheme="minorEastAsia"/>
          <w:noProof/>
        </w:rPr>
        <w:t>Ca</w:t>
      </w:r>
      <w:r w:rsidRPr="005E19BC">
        <w:rPr>
          <w:rFonts w:eastAsiaTheme="minorEastAsia"/>
          <w:noProof/>
          <w:vertAlign w:val="superscript"/>
        </w:rPr>
        <w:t>2+</w:t>
      </w:r>
      <w:r w:rsidRPr="005E19BC">
        <w:rPr>
          <w:rFonts w:eastAsiaTheme="minorEastAsia"/>
          <w:noProof/>
        </w:rPr>
        <w:t>/L</w:t>
      </w:r>
      <w:r>
        <w:rPr>
          <w:rFonts w:eastAsiaTheme="minorEastAsia"/>
          <w:noProof/>
        </w:rPr>
        <w:t xml:space="preserve"> vor. Dies entspricht einem Härtegrad von 16,824 °dH. somit liegt eine hart Wasserprobe vor.</w:t>
      </w:r>
      <w:r>
        <w:rPr>
          <w:rFonts w:eastAsiaTheme="minorEastAsia"/>
          <w:noProof/>
          <w:vertAlign w:val="superscript"/>
        </w:rPr>
        <w:t>[5]</w:t>
      </w:r>
    </w:p>
    <w:p w:rsidR="00ED4124" w:rsidRDefault="00ED4124" w:rsidP="00ED4124">
      <w:pPr>
        <w:spacing w:line="276" w:lineRule="auto"/>
        <w:ind w:left="2127"/>
        <w:rPr>
          <w:rFonts w:eastAsiaTheme="minorEastAsia"/>
          <w:noProof/>
          <w:color w:val="auto"/>
        </w:rPr>
      </w:pPr>
    </w:p>
    <w:p w:rsidR="00ED4124" w:rsidRDefault="00ED4124" w:rsidP="00ED4124">
      <w:pPr>
        <w:spacing w:line="276" w:lineRule="auto"/>
        <w:ind w:left="2127"/>
        <w:rPr>
          <w:rFonts w:eastAsiaTheme="minorEastAsia"/>
          <w:noProof/>
          <w:color w:val="auto"/>
        </w:rPr>
      </w:pPr>
    </w:p>
    <w:p w:rsidR="00ED4124" w:rsidRDefault="00ED4124" w:rsidP="00ED4124">
      <w:pPr>
        <w:spacing w:line="276" w:lineRule="auto"/>
        <w:ind w:left="2127"/>
        <w:rPr>
          <w:rFonts w:eastAsiaTheme="minorEastAsia"/>
          <w:noProof/>
          <w:color w:val="auto"/>
        </w:rPr>
      </w:pPr>
    </w:p>
    <w:p w:rsidR="00ED4124" w:rsidRDefault="00ED4124" w:rsidP="00ED4124">
      <w:pPr>
        <w:spacing w:line="276" w:lineRule="auto"/>
        <w:ind w:left="2127"/>
        <w:rPr>
          <w:rFonts w:eastAsiaTheme="minorEastAsia"/>
          <w:noProof/>
          <w:color w:val="auto"/>
        </w:rPr>
      </w:pPr>
    </w:p>
    <w:p w:rsidR="00ED4124" w:rsidRDefault="00ED4124" w:rsidP="00ED4124">
      <w:pPr>
        <w:spacing w:line="276" w:lineRule="auto"/>
        <w:ind w:left="2127"/>
        <w:rPr>
          <w:rFonts w:eastAsiaTheme="minorEastAsia"/>
          <w:noProof/>
          <w:color w:val="auto"/>
        </w:rPr>
      </w:pPr>
    </w:p>
    <w:p w:rsidR="00ED4124" w:rsidRDefault="00ED4124" w:rsidP="00ED4124">
      <w:pPr>
        <w:spacing w:line="276" w:lineRule="auto"/>
        <w:ind w:left="2127"/>
        <w:rPr>
          <w:rFonts w:eastAsiaTheme="minorEastAsia"/>
          <w:noProof/>
          <w:color w:val="auto"/>
        </w:rPr>
      </w:pPr>
    </w:p>
    <w:p w:rsidR="00ED4124" w:rsidRDefault="00ED4124" w:rsidP="00ED4124">
      <w:pPr>
        <w:spacing w:line="276" w:lineRule="auto"/>
        <w:ind w:left="2127"/>
        <w:rPr>
          <w:rFonts w:eastAsiaTheme="minorEastAsia"/>
          <w:noProof/>
          <w:color w:val="auto"/>
        </w:rPr>
      </w:pPr>
    </w:p>
    <w:p w:rsidR="00ED4124" w:rsidRDefault="00ED4124" w:rsidP="00ED4124">
      <w:pPr>
        <w:spacing w:line="276" w:lineRule="auto"/>
        <w:ind w:left="2127"/>
        <w:rPr>
          <w:rFonts w:eastAsiaTheme="minorEastAsia"/>
          <w:noProof/>
          <w:color w:val="auto"/>
        </w:rPr>
      </w:pPr>
      <w:r w:rsidRPr="00F53A66">
        <w:rPr>
          <w:rFonts w:eastAsiaTheme="minorEastAsia"/>
          <w:noProof/>
          <w:color w:val="auto"/>
        </w:rPr>
        <w:lastRenderedPageBreak/>
        <w:t>Fehlerbetrachtung</w:t>
      </w:r>
      <w:r>
        <w:rPr>
          <w:rFonts w:eastAsiaTheme="minorEastAsia"/>
          <w:noProof/>
          <w:color w:val="auto"/>
        </w:rPr>
        <w:t xml:space="preserve">: </w:t>
      </w:r>
    </w:p>
    <w:p w:rsidR="00ED4124" w:rsidRDefault="00ED4124" w:rsidP="00ED4124">
      <w:pPr>
        <w:keepNext/>
        <w:spacing w:line="276" w:lineRule="auto"/>
        <w:ind w:left="2127"/>
        <w:jc w:val="center"/>
      </w:pPr>
      <w:r>
        <w:rPr>
          <w:rFonts w:eastAsiaTheme="minorEastAsia"/>
          <w:noProof/>
          <w:color w:val="auto"/>
          <w:lang w:eastAsia="de-DE"/>
        </w:rPr>
        <w:drawing>
          <wp:inline distT="0" distB="0" distL="0" distR="0">
            <wp:extent cx="1691359" cy="1800000"/>
            <wp:effectExtent l="19050" t="0" r="4091" b="0"/>
            <wp:docPr id="11" name="Grafik 10" descr="2016-08-01 17.2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1 17.29.26.jpg"/>
                    <pic:cNvPicPr/>
                  </pic:nvPicPr>
                  <pic:blipFill>
                    <a:blip r:embed="rId16" cstate="print"/>
                    <a:srcRect/>
                    <a:stretch>
                      <a:fillRect/>
                    </a:stretch>
                  </pic:blipFill>
                  <pic:spPr>
                    <a:xfrm>
                      <a:off x="0" y="0"/>
                      <a:ext cx="1691359" cy="1800000"/>
                    </a:xfrm>
                    <a:prstGeom prst="rect">
                      <a:avLst/>
                    </a:prstGeom>
                  </pic:spPr>
                </pic:pic>
              </a:graphicData>
            </a:graphic>
          </wp:inline>
        </w:drawing>
      </w:r>
    </w:p>
    <w:p w:rsidR="00ED4124" w:rsidRDefault="00ED4124" w:rsidP="00ED4124">
      <w:pPr>
        <w:pStyle w:val="Beschriftung"/>
        <w:jc w:val="center"/>
        <w:rPr>
          <w:rFonts w:eastAsiaTheme="minorEastAsia"/>
          <w:noProof/>
        </w:rPr>
      </w:pPr>
      <w:r>
        <w:t xml:space="preserve">Abbildung 6: </w:t>
      </w:r>
      <w:proofErr w:type="spellStart"/>
      <w:r>
        <w:t>Nährwehrttabelle</w:t>
      </w:r>
      <w:proofErr w:type="spellEnd"/>
      <w:r>
        <w:t xml:space="preserve"> der verwendeten Wasserprobe.</w:t>
      </w:r>
    </w:p>
    <w:p w:rsidR="00ED4124" w:rsidRDefault="00ED4124" w:rsidP="00ED4124">
      <w:pPr>
        <w:spacing w:line="276" w:lineRule="auto"/>
        <w:ind w:left="2127"/>
        <w:rPr>
          <w:rFonts w:eastAsiaTheme="minorEastAsia"/>
          <w:noProof/>
          <w:color w:val="auto"/>
        </w:rPr>
      </w:pPr>
      <w:r>
        <w:rPr>
          <w:rFonts w:eastAsiaTheme="minorEastAsia"/>
          <w:noProof/>
          <w:color w:val="auto"/>
        </w:rPr>
        <w:t>Für die Fehlerbetrachtung muss der in Abbildung 6 zu entnehmende Wert für das Caclium umgerechnet werden. So wird eine Konzentration von 11,5 mmol/L erhalten.</w:t>
      </w:r>
    </w:p>
    <w:p w:rsidR="00ED4124" w:rsidRPr="002E0858" w:rsidRDefault="00ED4124" w:rsidP="00ED4124">
      <w:pPr>
        <w:ind w:left="2127"/>
        <w:rPr>
          <w:rFonts w:eastAsiaTheme="minorEastAsia"/>
          <w:lang w:val="en-US"/>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abs</m:t>
                  </m:r>
                </m:sub>
              </m:sSub>
            </m:e>
          </m:acc>
          <m:r>
            <w:rPr>
              <w:rFonts w:ascii="Cambria Math" w:hAnsi="Cambria Math"/>
              <w:lang w:val="en-US"/>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Messwert</m:t>
                  </m:r>
                  <m:r>
                    <w:rPr>
                      <w:rFonts w:ascii="Cambria Math" w:hAnsi="Cambria Math"/>
                      <w:lang w:val="en-US"/>
                    </w:rPr>
                    <m:t xml:space="preserve"> </m:t>
                  </m:r>
                </m:sub>
              </m:sSub>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w:rPr>
                      <w:rFonts w:ascii="Cambria Math" w:hAnsi="Cambria Math"/>
                    </w:rPr>
                    <m:t>Literatur</m:t>
                  </m:r>
                </m:sub>
              </m:sSub>
            </m:e>
          </m:d>
          <m:r>
            <w:rPr>
              <w:rFonts w:ascii="Cambria Math" w:hAnsi="Cambria Math"/>
              <w:lang w:val="en-US"/>
            </w:rPr>
            <m:t xml:space="preserve">= </m:t>
          </m:r>
          <m:d>
            <m:dPr>
              <m:begChr m:val="|"/>
              <m:endChr m:val="|"/>
              <m:ctrlPr>
                <w:rPr>
                  <w:rFonts w:ascii="Cambria Math" w:hAnsi="Cambria Math"/>
                  <w:i/>
                </w:rPr>
              </m:ctrlPr>
            </m:dPr>
            <m:e>
              <m:r>
                <w:rPr>
                  <w:rFonts w:ascii="Cambria Math" w:hAnsi="Cambria Math"/>
                </w:rPr>
                <m:t xml:space="preserve">3 </m:t>
              </m:r>
              <m:f>
                <m:fPr>
                  <m:ctrlPr>
                    <w:rPr>
                      <w:rFonts w:ascii="Cambria Math" w:hAnsi="Cambria Math"/>
                    </w:rPr>
                  </m:ctrlPr>
                </m:fPr>
                <m:num>
                  <m:r>
                    <m:rPr>
                      <m:sty m:val="p"/>
                    </m:rPr>
                    <w:rPr>
                      <w:rFonts w:ascii="Cambria Math" w:hAnsi="Cambria Math"/>
                    </w:rPr>
                    <m:t>mmol</m:t>
                  </m:r>
                </m:num>
                <m:den>
                  <m:r>
                    <m:rPr>
                      <m:sty m:val="p"/>
                    </m:rPr>
                    <w:rPr>
                      <w:rFonts w:ascii="Cambria Math" w:hAnsi="Cambria Math"/>
                    </w:rPr>
                    <m:t>L</m:t>
                  </m:r>
                </m:den>
              </m:f>
              <m:r>
                <w:rPr>
                  <w:rFonts w:ascii="Cambria Math" w:hAnsi="Cambria Math"/>
                </w:rPr>
                <m:t xml:space="preserve">- 11,5 </m:t>
              </m:r>
              <m:f>
                <m:fPr>
                  <m:ctrlPr>
                    <w:rPr>
                      <w:rFonts w:ascii="Cambria Math" w:hAnsi="Cambria Math"/>
                    </w:rPr>
                  </m:ctrlPr>
                </m:fPr>
                <m:num>
                  <m:r>
                    <m:rPr>
                      <m:sty m:val="p"/>
                    </m:rPr>
                    <w:rPr>
                      <w:rFonts w:ascii="Cambria Math" w:hAnsi="Cambria Math"/>
                    </w:rPr>
                    <m:t>mmol</m:t>
                  </m:r>
                </m:num>
                <m:den>
                  <m:r>
                    <m:rPr>
                      <m:sty m:val="p"/>
                    </m:rPr>
                    <w:rPr>
                      <w:rFonts w:ascii="Cambria Math" w:hAnsi="Cambria Math"/>
                    </w:rPr>
                    <m:t>L</m:t>
                  </m:r>
                </m:den>
              </m:f>
              <m:r>
                <w:rPr>
                  <w:rFonts w:ascii="Cambria Math" w:hAnsi="Cambria Math"/>
                </w:rPr>
                <m:t xml:space="preserve"> </m:t>
              </m:r>
            </m:e>
          </m:d>
          <m:r>
            <w:rPr>
              <w:rFonts w:ascii="Cambria Math" w:eastAsiaTheme="minorEastAsia" w:hAnsi="Cambria Math"/>
              <w:lang w:val="en-US"/>
            </w:rPr>
            <m:t xml:space="preserve">=8,5 </m:t>
          </m:r>
          <m:f>
            <m:fPr>
              <m:ctrlPr>
                <w:rPr>
                  <w:rFonts w:ascii="Cambria Math" w:hAnsi="Cambria Math"/>
                </w:rPr>
              </m:ctrlPr>
            </m:fPr>
            <m:num>
              <m:r>
                <m:rPr>
                  <m:sty m:val="p"/>
                </m:rPr>
                <w:rPr>
                  <w:rFonts w:ascii="Cambria Math" w:hAnsi="Cambria Math"/>
                </w:rPr>
                <m:t>mmol</m:t>
              </m:r>
            </m:num>
            <m:den>
              <m:r>
                <m:rPr>
                  <m:sty m:val="p"/>
                </m:rPr>
                <w:rPr>
                  <w:rFonts w:ascii="Cambria Math" w:hAnsi="Cambria Math"/>
                </w:rPr>
                <m:t>L</m:t>
              </m:r>
            </m:den>
          </m:f>
        </m:oMath>
      </m:oMathPara>
    </w:p>
    <w:p w:rsidR="00ED4124" w:rsidRPr="00AA6C94" w:rsidRDefault="00ED4124" w:rsidP="00ED4124">
      <w:pPr>
        <w:ind w:left="2127"/>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rel</m:t>
              </m:r>
            </m:sub>
          </m:sSub>
          <m:r>
            <w:rPr>
              <w:rFonts w:ascii="Cambria Math" w:hAnsi="Cambria Math"/>
            </w:rPr>
            <m:t xml:space="preserve">= </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abs</m:t>
                      </m:r>
                    </m:sub>
                  </m:sSub>
                </m:e>
              </m:acc>
            </m:num>
            <m:den>
              <m:sSub>
                <m:sSubPr>
                  <m:ctrlPr>
                    <w:rPr>
                      <w:rFonts w:ascii="Cambria Math" w:hAnsi="Cambria Math"/>
                      <w:i/>
                    </w:rPr>
                  </m:ctrlPr>
                </m:sSubPr>
                <m:e>
                  <m:r>
                    <w:rPr>
                      <w:rFonts w:ascii="Cambria Math" w:hAnsi="Cambria Math"/>
                    </w:rPr>
                    <m:t>x</m:t>
                  </m:r>
                </m:e>
                <m:sub>
                  <m:r>
                    <w:rPr>
                      <w:rFonts w:ascii="Cambria Math" w:hAnsi="Cambria Math"/>
                    </w:rPr>
                    <m:t>Literatur</m:t>
                  </m:r>
                </m:sub>
              </m:sSub>
            </m:den>
          </m:f>
          <m:r>
            <w:rPr>
              <w:rFonts w:ascii="Cambria Math" w:hAnsi="Cambria Math"/>
            </w:rPr>
            <m:t xml:space="preserve"> ∙100= </m:t>
          </m:r>
          <m:f>
            <m:fPr>
              <m:ctrlPr>
                <w:rPr>
                  <w:rFonts w:ascii="Cambria Math" w:hAnsi="Cambria Math"/>
                  <w:i/>
                </w:rPr>
              </m:ctrlPr>
            </m:fPr>
            <m:num>
              <m:r>
                <w:rPr>
                  <w:rFonts w:ascii="Cambria Math" w:hAnsi="Cambria Math"/>
                </w:rPr>
                <m:t xml:space="preserve">8,5 </m:t>
              </m:r>
              <m:f>
                <m:fPr>
                  <m:ctrlPr>
                    <w:rPr>
                      <w:rFonts w:ascii="Cambria Math" w:hAnsi="Cambria Math"/>
                    </w:rPr>
                  </m:ctrlPr>
                </m:fPr>
                <m:num>
                  <m:r>
                    <m:rPr>
                      <m:sty m:val="p"/>
                    </m:rPr>
                    <w:rPr>
                      <w:rFonts w:ascii="Cambria Math" w:hAnsi="Cambria Math"/>
                    </w:rPr>
                    <m:t>mmol</m:t>
                  </m:r>
                </m:num>
                <m:den>
                  <m:r>
                    <m:rPr>
                      <m:sty m:val="p"/>
                    </m:rPr>
                    <w:rPr>
                      <w:rFonts w:ascii="Cambria Math" w:hAnsi="Cambria Math"/>
                    </w:rPr>
                    <m:t>L</m:t>
                  </m:r>
                </m:den>
              </m:f>
            </m:num>
            <m:den>
              <m:r>
                <w:rPr>
                  <w:rFonts w:ascii="Cambria Math" w:hAnsi="Cambria Math"/>
                </w:rPr>
                <m:t xml:space="preserve">11,5 </m:t>
              </m:r>
              <m:f>
                <m:fPr>
                  <m:ctrlPr>
                    <w:rPr>
                      <w:rFonts w:ascii="Cambria Math" w:hAnsi="Cambria Math"/>
                    </w:rPr>
                  </m:ctrlPr>
                </m:fPr>
                <m:num>
                  <m:r>
                    <m:rPr>
                      <m:sty m:val="p"/>
                    </m:rPr>
                    <w:rPr>
                      <w:rFonts w:ascii="Cambria Math" w:hAnsi="Cambria Math"/>
                    </w:rPr>
                    <m:t>mmol</m:t>
                  </m:r>
                </m:num>
                <m:den>
                  <m:r>
                    <m:rPr>
                      <m:sty m:val="p"/>
                    </m:rPr>
                    <w:rPr>
                      <w:rFonts w:ascii="Cambria Math" w:hAnsi="Cambria Math"/>
                    </w:rPr>
                    <m:t>L</m:t>
                  </m:r>
                </m:den>
              </m:f>
            </m:den>
          </m:f>
          <m:r>
            <w:rPr>
              <w:rFonts w:ascii="Cambria Math" w:hAnsi="Cambria Math"/>
            </w:rPr>
            <m:t xml:space="preserve"> ∙100=73,91 %</m:t>
          </m:r>
        </m:oMath>
      </m:oMathPara>
    </w:p>
    <w:p w:rsidR="00ED4124" w:rsidRPr="00F53A66" w:rsidRDefault="00ED4124" w:rsidP="00ED4124">
      <w:pPr>
        <w:spacing w:line="276" w:lineRule="auto"/>
        <w:ind w:left="2127"/>
        <w:rPr>
          <w:rFonts w:eastAsiaTheme="minorEastAsia"/>
          <w:noProof/>
          <w:color w:val="auto"/>
        </w:rPr>
      </w:pPr>
    </w:p>
    <w:p w:rsidR="00ED4124" w:rsidRPr="0056694B" w:rsidRDefault="00ED4124" w:rsidP="00ED4124">
      <w:pPr>
        <w:spacing w:line="276" w:lineRule="auto"/>
        <w:rPr>
          <w:rFonts w:eastAsiaTheme="minorEastAsia"/>
          <w:noProof/>
        </w:rPr>
      </w:pPr>
      <w:r>
        <w:t>Entsorgung:</w:t>
      </w:r>
      <w:r>
        <w:tab/>
        <w:t xml:space="preserve">           </w:t>
      </w:r>
      <w:r>
        <w:tab/>
        <w:t xml:space="preserve">Die Lösung wird im Abfall für organische Lösungsmittel entsorgt. </w:t>
      </w:r>
    </w:p>
    <w:p w:rsidR="00ED4124" w:rsidRPr="005B60E3" w:rsidRDefault="00ED4124" w:rsidP="00ED4124">
      <w:pPr>
        <w:spacing w:line="276" w:lineRule="auto"/>
        <w:rPr>
          <w:rFonts w:asciiTheme="majorHAnsi" w:eastAsiaTheme="majorEastAsia" w:hAnsiTheme="majorHAnsi" w:cstheme="majorBidi"/>
          <w:b/>
          <w:bCs/>
          <w:sz w:val="28"/>
          <w:szCs w:val="28"/>
        </w:rPr>
      </w:pPr>
      <w:r>
        <w:t>Literatur:</w:t>
      </w:r>
      <w:r>
        <w:tab/>
      </w:r>
      <w:r>
        <w:tab/>
      </w:r>
      <w:r>
        <w:rPr>
          <w:color w:val="auto"/>
        </w:rPr>
        <w:t xml:space="preserve">[5] A. Klaas, </w:t>
      </w:r>
      <w:r w:rsidRPr="0053580F">
        <w:rPr>
          <w:color w:val="auto"/>
        </w:rPr>
        <w:t>http://www.wasser.de/inhalt.pl?tin=-0856901140223307-</w:t>
      </w:r>
      <w:r w:rsidRPr="0053580F">
        <w:rPr>
          <w:color w:val="auto"/>
        </w:rPr>
        <w:tab/>
      </w:r>
      <w:r w:rsidRPr="0053580F">
        <w:rPr>
          <w:color w:val="auto"/>
        </w:rPr>
        <w:tab/>
      </w:r>
      <w:r w:rsidRPr="0053580F">
        <w:rPr>
          <w:color w:val="auto"/>
        </w:rPr>
        <w:tab/>
        <w:t>709843806547241-1469974930-79.247.250.195-</w:t>
      </w:r>
      <w:r w:rsidRPr="0053580F">
        <w:rPr>
          <w:color w:val="auto"/>
        </w:rPr>
        <w:tab/>
      </w:r>
      <w:r>
        <w:rPr>
          <w:color w:val="auto"/>
        </w:rPr>
        <w:tab/>
      </w:r>
      <w:r>
        <w:rPr>
          <w:color w:val="auto"/>
        </w:rPr>
        <w:tab/>
      </w:r>
      <w:r>
        <w:rPr>
          <w:color w:val="auto"/>
        </w:rPr>
        <w:tab/>
      </w:r>
      <w:r>
        <w:rPr>
          <w:color w:val="auto"/>
        </w:rPr>
        <w:tab/>
      </w:r>
      <w:r>
        <w:rPr>
          <w:color w:val="auto"/>
        </w:rPr>
        <w:tab/>
      </w:r>
      <w:r w:rsidRPr="0053580F">
        <w:rPr>
          <w:color w:val="auto"/>
        </w:rPr>
        <w:t>&amp;achtung=&amp;</w:t>
      </w:r>
      <w:proofErr w:type="spellStart"/>
      <w:r w:rsidRPr="0053580F">
        <w:rPr>
          <w:color w:val="auto"/>
        </w:rPr>
        <w:t>kategorie</w:t>
      </w:r>
      <w:proofErr w:type="spellEnd"/>
      <w:r w:rsidRPr="0053580F">
        <w:rPr>
          <w:color w:val="auto"/>
        </w:rPr>
        <w:t>=1000009</w:t>
      </w:r>
      <w:r>
        <w:rPr>
          <w:color w:val="auto"/>
        </w:rPr>
        <w:t xml:space="preserve">, 31.07.16 (Zuletzt abgerufen am </w:t>
      </w:r>
      <w:r>
        <w:rPr>
          <w:color w:val="auto"/>
        </w:rPr>
        <w:tab/>
      </w:r>
      <w:r>
        <w:rPr>
          <w:color w:val="auto"/>
        </w:rPr>
        <w:tab/>
      </w:r>
      <w:r>
        <w:rPr>
          <w:color w:val="auto"/>
        </w:rPr>
        <w:tab/>
      </w:r>
      <w:r>
        <w:rPr>
          <w:color w:val="auto"/>
        </w:rPr>
        <w:tab/>
        <w:t>31.07.16 um 16:24 Uhr).</w:t>
      </w:r>
    </w:p>
    <w:p w:rsidR="00ED4124" w:rsidRDefault="00ED4124" w:rsidP="00ED4124">
      <w:pPr>
        <w:tabs>
          <w:tab w:val="left" w:pos="1701"/>
          <w:tab w:val="left" w:pos="1985"/>
        </w:tabs>
        <w:ind w:left="1980" w:hanging="1980"/>
      </w:pPr>
    </w:p>
    <w:p w:rsidR="00ED4124" w:rsidRPr="00ED4124" w:rsidRDefault="00ED4124" w:rsidP="00ED4124">
      <w:pPr>
        <w:tabs>
          <w:tab w:val="left" w:pos="1701"/>
          <w:tab w:val="left" w:pos="1985"/>
        </w:tabs>
        <w:ind w:left="1980" w:hanging="1980"/>
        <w:sectPr w:rsidR="00ED4124" w:rsidRPr="00ED4124" w:rsidSect="0007729E">
          <w:pgSz w:w="11906" w:h="16838"/>
          <w:pgMar w:top="1417" w:right="1417" w:bottom="709" w:left="1417" w:header="708" w:footer="708" w:gutter="0"/>
          <w:pgNumType w:start="0"/>
          <w:cols w:space="708"/>
          <w:titlePg/>
          <w:docGrid w:linePitch="360"/>
        </w:sectPr>
      </w:pPr>
      <w:r>
        <w:pict>
          <v:shape id="_x0000_s1026" type="#_x0000_t202" style="width:462.45pt;height:215.3pt;mso-position-horizontal-relative:char;mso-position-vertical-relative:line;mso-width-relative:margin;mso-height-relative:margin" fillcolor="white [3201]" strokecolor="#c0504d [3205]" strokeweight="1pt">
            <v:stroke dashstyle="dash"/>
            <v:shadow color="#868686"/>
            <v:textbox style="mso-next-textbox:#_x0000_s1026">
              <w:txbxContent>
                <w:p w:rsidR="00ED4124" w:rsidRPr="00F31EBF" w:rsidRDefault="00ED4124" w:rsidP="00ED4124">
                  <w:pPr>
                    <w:rPr>
                      <w:color w:val="auto"/>
                    </w:rPr>
                  </w:pPr>
                  <w:r w:rsidRPr="00F31EBF">
                    <w:rPr>
                      <w:b/>
                      <w:color w:val="auto"/>
                    </w:rPr>
                    <w:t xml:space="preserve">Unterrichtsanschlüsse </w:t>
                  </w:r>
                  <w:r>
                    <w:rPr>
                      <w:color w:val="auto"/>
                    </w:rPr>
                    <w:t>Dieser Versuch zeigt eine weitere Möglichkeit Titrationen zur B</w:t>
                  </w:r>
                  <w:r>
                    <w:rPr>
                      <w:color w:val="auto"/>
                    </w:rPr>
                    <w:t>e</w:t>
                  </w:r>
                  <w:r>
                    <w:rPr>
                      <w:color w:val="auto"/>
                    </w:rPr>
                    <w:t>stimmung eines Stoffes vor zunehmen. Für diesen Versuch ist es wichtig, dass eine EDTA-Konzentration von 0,01 M verwendet wird, da sonst die oben dargestellte Gesetzmäßigkeit nicht gültig ist. Da im Vergleich zu einer 0,1 M Lösung diese um das zehnfache verdünnt ist, hebt sich dies bei der Titrationsauswertung auf und die Gesetzmäßigkeit gilt. Die Schülerinnen und Schüler sollten im Vorfeld auf die Gefahren bei der Ammoniak-Verwendung hingewiesen werden, damit eine sichere und keine fahrlässige Handhabung erfolgt. Eine Alternative wäre, dass es verschiedene Wasserproben anstelle von nur einer untersucht werden. In der Auswe</w:t>
                  </w:r>
                  <w:r>
                    <w:rPr>
                      <w:color w:val="auto"/>
                    </w:rPr>
                    <w:t>r</w:t>
                  </w:r>
                  <w:r>
                    <w:rPr>
                      <w:color w:val="auto"/>
                    </w:rPr>
                    <w:t>tung können diese untereinander verglichen werden. Oft bieten sich auch Leitungswasserpr</w:t>
                  </w:r>
                  <w:r>
                    <w:rPr>
                      <w:color w:val="auto"/>
                    </w:rPr>
                    <w:t>o</w:t>
                  </w:r>
                  <w:r>
                    <w:rPr>
                      <w:color w:val="auto"/>
                    </w:rPr>
                    <w:t>ben aus verschiedenen Regionen an. Dafür müssen aber die Wasserbestandteile mit den en</w:t>
                  </w:r>
                  <w:r>
                    <w:rPr>
                      <w:color w:val="auto"/>
                    </w:rPr>
                    <w:t>t</w:t>
                  </w:r>
                  <w:r>
                    <w:rPr>
                      <w:color w:val="auto"/>
                    </w:rPr>
                    <w:t>sprechenden Werten bekannt sein.</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D4124"/>
    <w:rsid w:val="009D51FA"/>
    <w:rsid w:val="00DF0669"/>
    <w:rsid w:val="00ED4124"/>
    <w:rsid w:val="00FE0E4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412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D412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D412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D412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D41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D41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D41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D41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D41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D41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412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D412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D412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D412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D412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D412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D412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D412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D412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D4124"/>
    <w:pPr>
      <w:spacing w:line="240" w:lineRule="auto"/>
    </w:pPr>
    <w:rPr>
      <w:bCs/>
      <w:color w:val="auto"/>
      <w:sz w:val="18"/>
      <w:szCs w:val="18"/>
    </w:rPr>
  </w:style>
  <w:style w:type="paragraph" w:styleId="Listenabsatz">
    <w:name w:val="List Paragraph"/>
    <w:basedOn w:val="Standard"/>
    <w:uiPriority w:val="34"/>
    <w:qFormat/>
    <w:rsid w:val="00ED4124"/>
    <w:pPr>
      <w:spacing w:line="276" w:lineRule="auto"/>
      <w:ind w:left="720"/>
      <w:contextualSpacing/>
    </w:pPr>
    <w:rPr>
      <w:rFonts w:asciiTheme="minorHAnsi" w:hAnsiTheme="minorHAnsi"/>
      <w:color w:val="000000"/>
    </w:rPr>
  </w:style>
  <w:style w:type="paragraph" w:styleId="Sprechblasentext">
    <w:name w:val="Balloon Text"/>
    <w:basedOn w:val="Standard"/>
    <w:link w:val="SprechblasentextZchn"/>
    <w:uiPriority w:val="99"/>
    <w:semiHidden/>
    <w:unhideWhenUsed/>
    <w:rsid w:val="00ED41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412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2713</Characters>
  <Application>Microsoft Office Word</Application>
  <DocSecurity>0</DocSecurity>
  <Lines>22</Lines>
  <Paragraphs>6</Paragraphs>
  <ScaleCrop>false</ScaleCrop>
  <Company>HAASE</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2016-08-10T11:01:00Z</dcterms:created>
  <dcterms:modified xsi:type="dcterms:W3CDTF">2016-08-10T11:02:00Z</dcterms:modified>
</cp:coreProperties>
</file>