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37" w:rsidRDefault="00480A37" w:rsidP="00480A37">
      <w:pPr>
        <w:pStyle w:val="berschrift2"/>
      </w:pPr>
      <w:bookmarkStart w:id="0" w:name="_Toc457857911"/>
      <w:r>
        <w:t>V1 – Fällungstitration von Natriumchlorid mit Silbernitrat</w:t>
      </w:r>
      <w:bookmarkStart w:id="1" w:name="_Toc425776595"/>
      <w:bookmarkEnd w:id="0"/>
      <w:bookmarkEnd w:id="1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80A37" w:rsidRPr="009C5E28" w:rsidTr="00B048C9">
        <w:tc>
          <w:tcPr>
            <w:tcW w:w="9322" w:type="dxa"/>
            <w:gridSpan w:val="9"/>
            <w:shd w:val="clear" w:color="auto" w:fill="4F81BD"/>
            <w:vAlign w:val="center"/>
          </w:tcPr>
          <w:p w:rsidR="00480A37" w:rsidRPr="00F31EBF" w:rsidRDefault="00480A37" w:rsidP="00B048C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480A37" w:rsidRPr="009C5E28" w:rsidTr="00B048C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80A37" w:rsidRPr="009C5E28" w:rsidRDefault="00480A37" w:rsidP="00B048C9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Natriumchlorid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80A37" w:rsidRPr="009C5E28" w:rsidRDefault="00480A37" w:rsidP="00B048C9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80A37" w:rsidRPr="009C5E28" w:rsidRDefault="00480A37" w:rsidP="00B048C9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480A37" w:rsidRPr="009C5E28" w:rsidTr="00B048C9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480A37" w:rsidRPr="009C5E28" w:rsidRDefault="00480A37" w:rsidP="00B048C9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Silbernitrat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480A37" w:rsidRPr="009C5E28" w:rsidRDefault="00480A37" w:rsidP="00B048C9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 w:rsidRPr="00C94158">
              <w:rPr>
                <w:sz w:val="20"/>
              </w:rPr>
              <w:t>272, 314, 410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480A37" w:rsidRPr="009C5E28" w:rsidRDefault="00480A37" w:rsidP="00B048C9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 w:rsidRPr="00C94158">
              <w:rPr>
                <w:sz w:val="20"/>
              </w:rPr>
              <w:t>210, 221, 273, 280, 305+ 351+ 338, 308+ 310</w:t>
            </w:r>
          </w:p>
        </w:tc>
      </w:tr>
      <w:tr w:rsidR="00480A37" w:rsidRPr="009C5E28" w:rsidTr="00B048C9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480A37" w:rsidRDefault="00480A37" w:rsidP="00B048C9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Silberchlorid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480A37" w:rsidRPr="009C5E28" w:rsidRDefault="00480A37" w:rsidP="00B048C9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480A37" w:rsidRPr="009C5E28" w:rsidRDefault="00480A37" w:rsidP="00B048C9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P:-</w:t>
            </w:r>
          </w:p>
        </w:tc>
      </w:tr>
      <w:tr w:rsidR="00480A37" w:rsidRPr="009C5E28" w:rsidTr="00B048C9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80A37" w:rsidRPr="009C5E28" w:rsidRDefault="00480A37" w:rsidP="00B048C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80A37" w:rsidRPr="009C5E28" w:rsidRDefault="00480A37" w:rsidP="00B048C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1" name="Bild 2" descr="C:\Users\Kristina\Documents\SVP CHEMIE\Piktogramme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ristina\Documents\SVP CHEMIE\Piktogramme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80A37" w:rsidRPr="009C5E28" w:rsidRDefault="00480A37" w:rsidP="00B048C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80A37" w:rsidRPr="009C5E28" w:rsidRDefault="00480A37" w:rsidP="00B048C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80A37" w:rsidRPr="009C5E28" w:rsidRDefault="00480A37" w:rsidP="00B048C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80A37" w:rsidRPr="009C5E28" w:rsidRDefault="00480A37" w:rsidP="00B048C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80A37" w:rsidRPr="009C5E28" w:rsidRDefault="00480A37" w:rsidP="00B048C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2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80A37" w:rsidRPr="009C5E28" w:rsidRDefault="00480A37" w:rsidP="00B048C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25" name="Bild 4" descr="C:\Users\Kristina\Documents\SVP CHEMIE\Piktogramm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ristina\Documents\SVP CHEMIE\Piktogramm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80A37" w:rsidRPr="009C5E28" w:rsidRDefault="00480A37" w:rsidP="00B048C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27" name="Bild 3" descr="C:\Users\Kristina\Documents\SVP CHEMIE\Piktogramme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ristina\Documents\SVP CHEMIE\Piktogramme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A37" w:rsidRDefault="00480A37" w:rsidP="00480A37">
      <w:pPr>
        <w:tabs>
          <w:tab w:val="left" w:pos="1701"/>
          <w:tab w:val="left" w:pos="1985"/>
        </w:tabs>
        <w:ind w:left="1980" w:hanging="1980"/>
      </w:pPr>
    </w:p>
    <w:p w:rsidR="00480A37" w:rsidRDefault="00480A37" w:rsidP="00480A3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Bürette, Stativ, Trichter, </w:t>
      </w:r>
      <w:proofErr w:type="spellStart"/>
      <w:r>
        <w:t>Magnetrührer</w:t>
      </w:r>
      <w:proofErr w:type="spellEnd"/>
      <w:r>
        <w:t xml:space="preserve"> mit Rührschwein, Becherglas, schwarze Pappe</w:t>
      </w:r>
    </w:p>
    <w:p w:rsidR="00480A37" w:rsidRPr="00ED07C2" w:rsidRDefault="00480A37" w:rsidP="00480A37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Silbernitrat (0,01 M) und Natriumchlorid</w:t>
      </w:r>
    </w:p>
    <w:p w:rsidR="00480A37" w:rsidRDefault="00480A37" w:rsidP="00480A37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Es werden 100 </w:t>
      </w:r>
      <w:proofErr w:type="spellStart"/>
      <w:r>
        <w:t>mL</w:t>
      </w:r>
      <w:proofErr w:type="spellEnd"/>
      <w:r>
        <w:t xml:space="preserve"> einer 0,01 M Silbernitrat-Lösung hergestellt und in die Bürette mittels Trichter gefüllt. Im Becherglas befindet sich eine Natriu</w:t>
      </w:r>
      <w:r>
        <w:t>m</w:t>
      </w:r>
      <w:r>
        <w:t xml:space="preserve">chlorid-Lösung mit unbekannter Konzentration. Das Becherglas steht auf dem </w:t>
      </w:r>
      <w:proofErr w:type="spellStart"/>
      <w:r>
        <w:t>Magnetrührer</w:t>
      </w:r>
      <w:proofErr w:type="spellEnd"/>
      <w:r>
        <w:t xml:space="preserve"> und in der Lösung befindet sich das Rührschwein. Die Natriumchlorid-Lösung wird mit der Silbernitrat-Lösung bis zum Auftreten einer Trübung titriert. Die schwarze Pappe hilft zur Kontrastierung um den Zeitpunkt der ersten Trübung besser erkennen zu können.</w:t>
      </w:r>
    </w:p>
    <w:p w:rsidR="00480A37" w:rsidRDefault="00480A37" w:rsidP="00480A37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Nach einer Zugabe von 3,5 </w:t>
      </w:r>
      <w:proofErr w:type="spellStart"/>
      <w:r>
        <w:t>mL</w:t>
      </w:r>
      <w:proofErr w:type="spellEnd"/>
      <w:r>
        <w:t xml:space="preserve"> Silbernitrat-Lösung ist eine milchig, weiße Trübung im Becherglas zu erkennen.</w:t>
      </w:r>
    </w:p>
    <w:p w:rsidR="00480A37" w:rsidRDefault="00480A37" w:rsidP="00480A37">
      <w:pPr>
        <w:pStyle w:val="Beschriftung"/>
        <w:jc w:val="center"/>
      </w:pPr>
    </w:p>
    <w:p w:rsidR="00480A37" w:rsidRDefault="00480A37" w:rsidP="00480A37">
      <w:pPr>
        <w:pStyle w:val="Beschriftung"/>
        <w:jc w:val="center"/>
      </w:pPr>
      <w:r>
        <w:lastRenderedPageBreak/>
        <w:t>1.</w:t>
      </w:r>
      <w:r>
        <w:rPr>
          <w:bCs w:val="0"/>
          <w:noProof/>
          <w:lang w:eastAsia="de-DE"/>
        </w:rPr>
        <w:drawing>
          <wp:inline distT="0" distB="0" distL="0" distR="0">
            <wp:extent cx="1178121" cy="2520000"/>
            <wp:effectExtent l="19050" t="0" r="2979" b="0"/>
            <wp:docPr id="28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121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>2.</w:t>
      </w:r>
      <w:r w:rsidRPr="00075A37">
        <w:rPr>
          <w:bCs w:val="0"/>
        </w:rPr>
        <w:t xml:space="preserve"> </w:t>
      </w:r>
      <w:r>
        <w:rPr>
          <w:bCs w:val="0"/>
          <w:noProof/>
          <w:lang w:eastAsia="de-DE"/>
        </w:rPr>
        <w:drawing>
          <wp:inline distT="0" distB="0" distL="0" distR="0">
            <wp:extent cx="984828" cy="2520000"/>
            <wp:effectExtent l="19050" t="0" r="5772" b="0"/>
            <wp:docPr id="29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28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A37" w:rsidRDefault="00480A37" w:rsidP="00480A37">
      <w:pPr>
        <w:pStyle w:val="Beschriftung"/>
        <w:jc w:val="center"/>
      </w:pPr>
      <w:r>
        <w:t xml:space="preserve">Abb. </w:t>
      </w:r>
      <w:fldSimple w:instr=" SEQ Abb. \* ARABIC ">
        <w:r>
          <w:rPr>
            <w:noProof/>
          </w:rPr>
          <w:t>1</w:t>
        </w:r>
      </w:fldSimple>
      <w:r>
        <w:t xml:space="preserve"> - </w:t>
      </w:r>
      <w:r>
        <w:rPr>
          <w:noProof/>
        </w:rPr>
        <w:t xml:space="preserve"> Darstellung der Natriumchlorid-Lösung vor einem schwarzen Hintergrund. 1. Vor der Titration. 2. Nach der Titration, wo die erste Trübung aufgetreten ist..</w:t>
      </w:r>
    </w:p>
    <w:p w:rsidR="00480A37" w:rsidRDefault="00480A37" w:rsidP="00480A37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>Die milchige Trübung der Lösung ist durch das Ausfällen von Silberchl</w:t>
      </w:r>
      <w:r>
        <w:t>o</w:t>
      </w:r>
      <w:r>
        <w:t xml:space="preserve">rid bedingt. </w:t>
      </w:r>
    </w:p>
    <w:p w:rsidR="00480A37" w:rsidRDefault="00480A37" w:rsidP="00480A37">
      <w:pPr>
        <w:tabs>
          <w:tab w:val="left" w:pos="1701"/>
          <w:tab w:val="left" w:pos="1985"/>
        </w:tabs>
        <w:ind w:left="2124" w:hanging="2124"/>
      </w:pPr>
      <w:r>
        <w:t>Reaktionsgleichung:</w:t>
      </w:r>
    </w:p>
    <w:p w:rsidR="00480A37" w:rsidRPr="00D45828" w:rsidRDefault="00480A37" w:rsidP="00480A37">
      <w:pPr>
        <w:tabs>
          <w:tab w:val="left" w:pos="1701"/>
          <w:tab w:val="left" w:pos="1985"/>
        </w:tabs>
        <w:ind w:left="2124" w:hanging="2124"/>
        <w:jc w:val="center"/>
      </w:pPr>
      <w:proofErr w:type="spellStart"/>
      <w:r>
        <w:t>Ag</w:t>
      </w:r>
      <w:proofErr w:type="spellEnd"/>
      <w:r w:rsidRPr="00D45828">
        <w:rPr>
          <w:vertAlign w:val="superscript"/>
        </w:rPr>
        <w:t>+</w:t>
      </w:r>
      <w:r w:rsidRPr="00D45828">
        <w:rPr>
          <w:vertAlign w:val="subscript"/>
        </w:rPr>
        <w:t>(</w:t>
      </w:r>
      <w:proofErr w:type="spellStart"/>
      <w:r w:rsidRPr="00D45828">
        <w:rPr>
          <w:vertAlign w:val="subscript"/>
        </w:rPr>
        <w:t>aq</w:t>
      </w:r>
      <w:proofErr w:type="spellEnd"/>
      <w:r w:rsidRPr="00D45828">
        <w:rPr>
          <w:vertAlign w:val="subscript"/>
        </w:rPr>
        <w:t>)</w:t>
      </w:r>
      <w:r>
        <w:t xml:space="preserve"> + Cl</w:t>
      </w:r>
      <w:r w:rsidRPr="00D45828">
        <w:rPr>
          <w:vertAlign w:val="superscript"/>
        </w:rPr>
        <w:noBreakHyphen/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⇌ </w:t>
      </w:r>
      <w:proofErr w:type="spellStart"/>
      <w:r>
        <w:t>AgCl</w:t>
      </w:r>
      <w:proofErr w:type="spellEnd"/>
      <w:r w:rsidRPr="00D45828">
        <w:rPr>
          <w:vertAlign w:val="subscript"/>
        </w:rPr>
        <w:t>(s)</w:t>
      </w:r>
      <w:r>
        <w:t>↓</w:t>
      </w:r>
    </w:p>
    <w:p w:rsidR="00480A37" w:rsidRDefault="00480A37" w:rsidP="00480A37">
      <w:pPr>
        <w:tabs>
          <w:tab w:val="left" w:pos="1701"/>
          <w:tab w:val="left" w:pos="1985"/>
        </w:tabs>
        <w:ind w:left="2124" w:firstLine="3"/>
      </w:pPr>
      <w:r>
        <w:t>Dieses Ausfällen ist durch die Überschreitung des Löslichkeitsproduktes von Silberchlorid bedingt, da eine übersättigte Lösung vorliegt. Durch das Ausfällen versucht das System wieder in den Gleichgewichtszustand z</w:t>
      </w:r>
      <w:r>
        <w:t>u</w:t>
      </w:r>
      <w:r>
        <w:t>gelangen. Das Löslichkeitsprodukt für Silberchlorid sieht wie folgt aus:</w:t>
      </w:r>
    </w:p>
    <w:p w:rsidR="00480A37" w:rsidRDefault="00480A37" w:rsidP="00480A37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L</m:t>
              </m:r>
            </m:sub>
          </m:sSub>
          <m:r>
            <w:rPr>
              <w:rFonts w:ascii="Cambria Math" w:eastAsiaTheme="minorEastAsia" w:hAnsi="Cambria Math"/>
            </w:rPr>
            <m:t>=c(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Cl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</m:sup>
          </m:sSup>
          <m:r>
            <w:rPr>
              <w:rFonts w:ascii="Cambria Math" w:eastAsiaTheme="minorEastAsia" w:hAnsi="Cambria Math"/>
            </w:rPr>
            <m:t>)∙c(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Ag</m:t>
              </m:r>
            </m:e>
            <m:sup>
              <m:r>
                <w:rPr>
                  <w:rFonts w:ascii="Cambria Math" w:eastAsiaTheme="minorEastAsia" w:hAnsi="Cambria Math"/>
                </w:rPr>
                <m:t>+</m:t>
              </m:r>
            </m:sup>
          </m:sSup>
          <m:r>
            <w:rPr>
              <w:rFonts w:ascii="Cambria Math" w:eastAsiaTheme="minorEastAsia" w:hAnsi="Cambria Math"/>
            </w:rPr>
            <m:t>)</m:t>
          </m:r>
        </m:oMath>
      </m:oMathPara>
    </w:p>
    <w:p w:rsidR="00480A37" w:rsidRDefault="00480A37" w:rsidP="00480A37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Die Formel für das Löslichkeitsprodukt wird nach der unbekannten Chl</w:t>
      </w:r>
      <w:r>
        <w:rPr>
          <w:rFonts w:eastAsiaTheme="minorEastAsia"/>
        </w:rPr>
        <w:t>o</w:t>
      </w:r>
      <w:r>
        <w:rPr>
          <w:rFonts w:eastAsiaTheme="minorEastAsia"/>
        </w:rPr>
        <w:t>rid-Ionen-</w:t>
      </w:r>
      <w:r w:rsidRPr="000677E0">
        <w:rPr>
          <w:rFonts w:eastAsiaTheme="minorEastAsia"/>
        </w:rPr>
        <w:t>Konzentration</w:t>
      </w:r>
      <w:r>
        <w:rPr>
          <w:rFonts w:eastAsiaTheme="minorEastAsia"/>
        </w:rPr>
        <w:t xml:space="preserve"> umgestellt. Somit wird folgendes erhalten:</w:t>
      </w:r>
    </w:p>
    <w:p w:rsidR="00480A37" w:rsidRDefault="00480A37" w:rsidP="00480A37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Cl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Ag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e>
              </m:d>
            </m:den>
          </m:f>
        </m:oMath>
      </m:oMathPara>
    </w:p>
    <w:p w:rsidR="00480A37" w:rsidRPr="000677E0" w:rsidRDefault="00480A37" w:rsidP="00480A37">
      <w:pPr>
        <w:tabs>
          <w:tab w:val="left" w:pos="1701"/>
          <w:tab w:val="left" w:pos="1985"/>
        </w:tabs>
        <w:ind w:left="1980" w:firstLine="5"/>
        <w:rPr>
          <w:rFonts w:eastAsiaTheme="minorEastAsia"/>
        </w:rPr>
      </w:pPr>
      <w:r>
        <w:t xml:space="preserve">Ist nur der </w:t>
      </w:r>
      <w:proofErr w:type="spellStart"/>
      <w:r>
        <w:t>pK</w:t>
      </w:r>
      <w:r>
        <w:rPr>
          <w:vertAlign w:val="subscript"/>
        </w:rPr>
        <w:t>L</w:t>
      </w:r>
      <w:proofErr w:type="spellEnd"/>
      <w:r>
        <w:t>-Wert gegeben (</w:t>
      </w:r>
      <w:proofErr w:type="spellStart"/>
      <w:proofErr w:type="gramStart"/>
      <w:r>
        <w:t>Lit</w:t>
      </w:r>
      <w:proofErr w:type="spellEnd"/>
      <w:r>
        <w:t>.:</w:t>
      </w:r>
      <w:proofErr w:type="gramEnd"/>
      <w:r>
        <w:t xml:space="preserve"> 9,77), kann der K</w:t>
      </w:r>
      <w:r>
        <w:rPr>
          <w:vertAlign w:val="subscript"/>
        </w:rPr>
        <w:t>L</w:t>
      </w:r>
      <w:r>
        <w:t>-Wert durch folgende Formel erhalten werden:</w:t>
      </w:r>
    </w:p>
    <w:p w:rsidR="00480A37" w:rsidRPr="002A1891" w:rsidRDefault="00480A37" w:rsidP="00480A37">
      <w:pPr>
        <w:tabs>
          <w:tab w:val="left" w:pos="1701"/>
          <w:tab w:val="left" w:pos="1985"/>
          <w:tab w:val="left" w:pos="8010"/>
        </w:tabs>
        <w:ind w:left="1980" w:hanging="198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L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-p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</m:t>
                  </m:r>
                </m:sub>
              </m:sSub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-9,77</m:t>
              </m:r>
            </m:sup>
          </m:sSup>
          <m:r>
            <w:rPr>
              <w:rFonts w:ascii="Cambria Math" w:eastAsiaTheme="minorEastAsia" w:hAnsi="Cambria Math"/>
            </w:rPr>
            <m:t>=1,69∙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-10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mol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480A37" w:rsidRDefault="00480A37" w:rsidP="00480A37">
      <w:pPr>
        <w:tabs>
          <w:tab w:val="left" w:pos="1701"/>
          <w:tab w:val="left" w:pos="1985"/>
        </w:tabs>
        <w:ind w:left="1980" w:firstLine="5"/>
        <w:rPr>
          <w:rFonts w:eastAsiaTheme="minorEastAsia"/>
        </w:rPr>
      </w:pPr>
      <w:r>
        <w:rPr>
          <w:rFonts w:eastAsiaTheme="minorEastAsia"/>
        </w:rPr>
        <w:t>Es muss die neue Silberionen- Konzentration bestimmt werden:</w:t>
      </w:r>
    </w:p>
    <w:p w:rsidR="00480A37" w:rsidRPr="002A1891" w:rsidRDefault="00480A37" w:rsidP="00480A37">
      <w:pPr>
        <w:pStyle w:val="KeinLeerraum"/>
        <w:rPr>
          <w:rFonts w:asciiTheme="minorHAnsi" w:eastAsiaTheme="minorEastAsia" w:hAnsiTheme="minorHAnsi"/>
        </w:rPr>
      </w:pPr>
      <m:oMathPara>
        <m:oMath>
          <m:r>
            <m:t>c</m:t>
          </m:r>
          <m:d>
            <m:dPr>
              <m:ctrlPr/>
            </m:dPr>
            <m:e>
              <m:sSup>
                <m:sSupPr>
                  <m:ctrlPr/>
                </m:sSupPr>
                <m:e>
                  <m:r>
                    <m:t>Ag</m:t>
                  </m:r>
                </m:e>
                <m:sup>
                  <m:r>
                    <m:t>+</m:t>
                  </m:r>
                </m:sup>
              </m:sSup>
            </m:e>
          </m:d>
          <m:r>
            <m:t xml:space="preserve">= </m:t>
          </m:r>
          <m:sSub>
            <m:sSubPr>
              <m:ctrlPr/>
            </m:sSubPr>
            <m:e>
              <m:r>
                <m:t>c</m:t>
              </m:r>
            </m:e>
            <m:sub>
              <m:r>
                <m:t>0, AgN</m:t>
              </m:r>
              <m:sSub>
                <m:sSubPr>
                  <m:ctrlPr/>
                </m:sSubPr>
                <m:e>
                  <m:r>
                    <m:t>O</m:t>
                  </m:r>
                </m:e>
                <m:sub>
                  <m:r>
                    <m:t>3</m:t>
                  </m:r>
                </m:sub>
              </m:sSub>
            </m:sub>
          </m:sSub>
          <m:r>
            <m:t>∙</m:t>
          </m:r>
          <m:d>
            <m:dPr>
              <m:ctrlPr/>
            </m:dPr>
            <m:e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V</m:t>
                      </m:r>
                    </m:e>
                    <m:sub>
                      <m:r>
                        <m:t>titriert</m:t>
                      </m:r>
                    </m:sub>
                  </m:sSub>
                </m:num>
                <m:den>
                  <m:sSub>
                    <m:sSubPr>
                      <m:ctrlPr/>
                    </m:sSubPr>
                    <m:e>
                      <m:r>
                        <m:t>V</m:t>
                      </m:r>
                    </m:e>
                    <m:sub>
                      <m:r>
                        <m:t>ges</m:t>
                      </m:r>
                    </m:sub>
                  </m:sSub>
                </m:den>
              </m:f>
            </m:e>
          </m:d>
          <m:r>
            <m:t>=0,01</m:t>
          </m:r>
          <m:f>
            <m:fPr>
              <m:ctrlPr/>
            </m:fPr>
            <m:num>
              <m:r>
                <m:t>mol</m:t>
              </m:r>
            </m:num>
            <m:den>
              <m:r>
                <m:t>L</m:t>
              </m:r>
            </m:den>
          </m:f>
          <m:r>
            <m:t>∙</m:t>
          </m:r>
          <m:d>
            <m:dPr>
              <m:ctrlPr/>
            </m:dPr>
            <m:e>
              <m:f>
                <m:fPr>
                  <m:ctrlPr/>
                </m:fPr>
                <m:num>
                  <m:r>
                    <m:t>0,0035L</m:t>
                  </m:r>
                </m:num>
                <m:den>
                  <m:r>
                    <m:t>0,2035L</m:t>
                  </m:r>
                </m:den>
              </m:f>
            </m:e>
          </m:d>
          <m:r>
            <m:t>=1,72∙</m:t>
          </m:r>
          <m:sSup>
            <m:sSupPr>
              <m:ctrlPr/>
            </m:sSupPr>
            <m:e>
              <m:r>
                <m:t>10</m:t>
              </m:r>
            </m:e>
            <m:sup>
              <m:r>
                <m:t>-4</m:t>
              </m:r>
            </m:sup>
          </m:sSup>
          <m:f>
            <m:fPr>
              <m:ctrlPr>
                <w:rPr>
                  <w:i w:val="0"/>
                </w:rPr>
              </m:ctrlPr>
            </m:fPr>
            <m:num>
              <m:r>
                <m:t>mol</m:t>
              </m:r>
            </m:num>
            <m:den>
              <m:r>
                <m:t>L</m:t>
              </m:r>
            </m:den>
          </m:f>
        </m:oMath>
      </m:oMathPara>
    </w:p>
    <w:p w:rsidR="00480A37" w:rsidRDefault="00480A37" w:rsidP="00480A37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480A37" w:rsidRDefault="00480A37" w:rsidP="00480A37">
      <w:pPr>
        <w:tabs>
          <w:tab w:val="left" w:pos="1701"/>
          <w:tab w:val="left" w:pos="1985"/>
        </w:tabs>
        <w:ind w:left="1980" w:firstLine="5"/>
        <w:rPr>
          <w:rFonts w:eastAsiaTheme="minorEastAsia"/>
        </w:rPr>
      </w:pPr>
      <w:r>
        <w:rPr>
          <w:rFonts w:eastAsiaTheme="minorEastAsia"/>
        </w:rPr>
        <w:t>Nun werden die Werte eingesetzt:</w:t>
      </w:r>
    </w:p>
    <w:p w:rsidR="00480A37" w:rsidRDefault="00480A37" w:rsidP="00480A37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Cl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1,69∙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-10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mol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/>
                </w:rPr>
                <m:t>1,72∙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-4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mol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 xml:space="preserve">=9,83 ∙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-7</m:t>
              </m:r>
            </m:sup>
          </m:sSup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mol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den>
          </m:f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480A37" w:rsidRDefault="00480A37" w:rsidP="00480A37">
      <w:pPr>
        <w:tabs>
          <w:tab w:val="left" w:pos="1701"/>
          <w:tab w:val="left" w:pos="1985"/>
        </w:tabs>
        <w:ind w:left="1980" w:firstLine="5"/>
        <w:rPr>
          <w:rFonts w:eastAsiaTheme="minorEastAsia"/>
        </w:rPr>
      </w:pPr>
      <w:r>
        <w:rPr>
          <w:rFonts w:eastAsiaTheme="minorEastAsia"/>
        </w:rPr>
        <w:t xml:space="preserve">Es wurde eine Natriumchlorid-Lösung der Konzentration von </w:t>
      </w:r>
      <m:oMath>
        <m:r>
          <w:rPr>
            <w:rFonts w:ascii="Cambria Math" w:eastAsiaTheme="minorEastAsia" w:hAnsi="Cambria Math"/>
          </w:rPr>
          <m:t xml:space="preserve">9,83 ∙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-7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mol∙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-1</m:t>
            </m:r>
          </m:sup>
        </m:sSup>
      </m:oMath>
      <w:r>
        <w:rPr>
          <w:rFonts w:eastAsiaTheme="minorEastAsia"/>
        </w:rPr>
        <w:t xml:space="preserve"> für diesen Versuch verwendet. Nun kann noch die Masse b</w:t>
      </w:r>
      <w:proofErr w:type="spellStart"/>
      <w:r>
        <w:rPr>
          <w:rFonts w:eastAsiaTheme="minorEastAsia"/>
        </w:rPr>
        <w:t>e</w:t>
      </w:r>
      <w:r>
        <w:rPr>
          <w:rFonts w:eastAsiaTheme="minorEastAsia"/>
        </w:rPr>
        <w:t>stimmt</w:t>
      </w:r>
      <w:proofErr w:type="spellEnd"/>
      <w:r>
        <w:rPr>
          <w:rFonts w:eastAsiaTheme="minorEastAsia"/>
        </w:rPr>
        <w:t xml:space="preserve"> werden, die zur Herstellung der Lösung eingewogen wurden. Dazu wird zu Erste die Stoffmenge von Natriumchlorid berechnet:</w:t>
      </w:r>
    </w:p>
    <w:p w:rsidR="00480A37" w:rsidRPr="002A1891" w:rsidRDefault="00480A37" w:rsidP="00480A37">
      <w:pPr>
        <w:tabs>
          <w:tab w:val="left" w:pos="1701"/>
          <w:tab w:val="left" w:pos="1985"/>
        </w:tabs>
        <w:ind w:left="1980" w:hanging="1980"/>
        <w:rPr>
          <w:rFonts w:eastAsiaTheme="minorEastAsia"/>
          <w:sz w:val="32"/>
        </w:rPr>
      </w:pPr>
      <m:oMathPara>
        <m:oMath>
          <m:r>
            <w:rPr>
              <w:rFonts w:ascii="Cambria Math" w:eastAsiaTheme="minorEastAsia" w:hAnsi="Cambria Math"/>
            </w:rPr>
            <m:t>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NaCl</m:t>
              </m:r>
            </m:e>
          </m:d>
          <m:r>
            <w:rPr>
              <w:rFonts w:ascii="Cambria Math" w:eastAsiaTheme="minorEastAsia" w:hAnsi="Cambria Math"/>
            </w:rPr>
            <m:t>= c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Cl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ges</m:t>
              </m:r>
            </m:sub>
          </m:sSub>
          <m:r>
            <w:rPr>
              <w:rFonts w:ascii="Cambria Math" w:hAnsi="Cambria Math"/>
            </w:rPr>
            <m:t xml:space="preserve">= </m:t>
          </m:r>
          <m:r>
            <w:rPr>
              <w:rFonts w:ascii="Cambria Math" w:eastAsiaTheme="minorEastAsia" w:hAnsi="Cambria Math"/>
            </w:rPr>
            <m:t xml:space="preserve">9,83 ∙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-7</m:t>
              </m:r>
            </m:sup>
          </m:sSup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mol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den>
          </m:f>
          <m:r>
            <w:rPr>
              <w:rFonts w:ascii="Cambria Math" w:eastAsiaTheme="minorEastAsia" w:hAnsi="Cambria Math"/>
            </w:rPr>
            <m:t xml:space="preserve">∙0,2035 </m:t>
          </m:r>
          <m:r>
            <m:rPr>
              <m:sty m:val="p"/>
            </m:rPr>
            <w:rPr>
              <w:rFonts w:ascii="Cambria Math" w:eastAsiaTheme="minorEastAsia" w:hAnsi="Cambria Math"/>
            </w:rPr>
            <m:t>L=4,00 ∙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-8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</w:rPr>
            <m:t>mol</m:t>
          </m:r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480A37" w:rsidRDefault="00480A37" w:rsidP="00480A37">
      <w:pPr>
        <w:tabs>
          <w:tab w:val="left" w:pos="1701"/>
          <w:tab w:val="left" w:pos="1985"/>
        </w:tabs>
        <w:ind w:left="1980" w:firstLine="5"/>
        <w:rPr>
          <w:rFonts w:eastAsiaTheme="minorEastAsia"/>
        </w:rPr>
      </w:pPr>
      <w:r>
        <w:rPr>
          <w:rFonts w:eastAsiaTheme="minorEastAsia"/>
        </w:rPr>
        <w:t>Die molekulare Masse von Natriumchlorid beträgt 59 g/</w:t>
      </w:r>
      <w:proofErr w:type="spellStart"/>
      <w:r>
        <w:rPr>
          <w:rFonts w:eastAsiaTheme="minorEastAsia"/>
        </w:rPr>
        <w:t>mol</w:t>
      </w:r>
      <w:proofErr w:type="spellEnd"/>
      <w:r>
        <w:rPr>
          <w:rFonts w:eastAsiaTheme="minorEastAsia"/>
        </w:rPr>
        <w:t>.</w:t>
      </w:r>
    </w:p>
    <w:p w:rsidR="00480A37" w:rsidRDefault="00480A37" w:rsidP="00480A37">
      <w:pPr>
        <w:tabs>
          <w:tab w:val="left" w:pos="1701"/>
          <w:tab w:val="left" w:pos="1985"/>
        </w:tabs>
        <w:ind w:left="1980" w:firstLine="5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m=n ∙M= </m:t>
          </m:r>
          <m:r>
            <m:rPr>
              <m:sty m:val="p"/>
            </m:rPr>
            <w:rPr>
              <w:rFonts w:ascii="Cambria Math" w:eastAsiaTheme="minorEastAsia" w:hAnsi="Cambria Math"/>
            </w:rPr>
            <m:t>4,00 ∙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-8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mol ∙59 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g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mol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=2,36 ∙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-6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 xml:space="preserve"> g</m:t>
          </m:r>
        </m:oMath>
      </m:oMathPara>
    </w:p>
    <w:p w:rsidR="00480A37" w:rsidRDefault="00480A37" w:rsidP="00480A37">
      <w:pPr>
        <w:spacing w:line="276" w:lineRule="auto"/>
        <w:jc w:val="left"/>
      </w:pPr>
      <w:r>
        <w:t>Entsorgung:</w:t>
      </w:r>
      <w:r>
        <w:tab/>
        <w:t xml:space="preserve">           </w:t>
      </w:r>
      <w:r>
        <w:tab/>
        <w:t>Die Entsorgung der Lösung wird im Schwermetallbehälter vorgenommen.</w:t>
      </w:r>
    </w:p>
    <w:p w:rsidR="00480A37" w:rsidRPr="00B937A2" w:rsidRDefault="00480A37" w:rsidP="00480A37">
      <w:pPr>
        <w:spacing w:line="276" w:lineRule="auto"/>
        <w:ind w:left="1985" w:hanging="1985"/>
        <w:jc w:val="left"/>
        <w:rPr>
          <w:rFonts w:asciiTheme="majorHAnsi" w:hAnsiTheme="majorHAnsi"/>
        </w:rPr>
      </w:pPr>
      <w:r>
        <w:t>Literatur:</w:t>
      </w:r>
      <w:r>
        <w:tab/>
      </w:r>
      <w:r>
        <w:tab/>
        <w:t xml:space="preserve">abgeändert nach: Uni Potsdam, </w:t>
      </w:r>
      <w:r w:rsidRPr="0082118A">
        <w:t>www.chem.uni-potsdam.de/anorganik/Argentometrie.doc+&amp;cd=4&amp;hl=de&amp;ct=clnk&amp;gl=de</w:t>
      </w:r>
      <w:r>
        <w:t>, 08.08.16 (Zuletzt abgerufen am 08.08.16. um 20:24 Uhr).</w:t>
      </w:r>
    </w:p>
    <w:p w:rsidR="00DF0669" w:rsidRDefault="00DF0669"/>
    <w:sectPr w:rsidR="00DF0669" w:rsidSect="00DF06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80A37"/>
    <w:rsid w:val="00480A37"/>
    <w:rsid w:val="009D51FA"/>
    <w:rsid w:val="00DF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0A37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0A37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0A3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80A37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0A3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0A3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0A3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0A3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0A3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0A3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0A37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0A37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80A37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0A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0A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0A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0A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0A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0A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480A37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480A37"/>
    <w:pPr>
      <w:spacing w:before="120" w:line="276" w:lineRule="auto"/>
      <w:ind w:left="284" w:right="284"/>
    </w:pPr>
    <w:rPr>
      <w:rFonts w:ascii="Cambria Math" w:hAnsi="Cambria Math" w:cs="Arial"/>
      <w:i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480A37"/>
    <w:rPr>
      <w:rFonts w:ascii="Cambria Math" w:hAnsi="Cambria Math" w:cs="Arial"/>
      <w:i/>
      <w:color w:val="1D1B11" w:themeColor="background2" w:themeShade="1A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A37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2653</Characters>
  <Application>Microsoft Office Word</Application>
  <DocSecurity>0</DocSecurity>
  <Lines>22</Lines>
  <Paragraphs>6</Paragraphs>
  <ScaleCrop>false</ScaleCrop>
  <Company>HAASE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2016-08-10T11:13:00Z</dcterms:created>
  <dcterms:modified xsi:type="dcterms:W3CDTF">2016-08-10T11:14:00Z</dcterms:modified>
</cp:coreProperties>
</file>