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800" w:rsidRPr="00CC307A" w:rsidRDefault="006F6800" w:rsidP="006F6800">
      <w:pPr>
        <w:pStyle w:val="berschrift2"/>
        <w:rPr>
          <w:color w:val="auto"/>
        </w:rPr>
      </w:pPr>
      <w:bookmarkStart w:id="0" w:name="_Toc457758473"/>
      <w:r>
        <w:rPr>
          <w:color w:val="auto"/>
        </w:rPr>
        <w:t>V2</w:t>
      </w:r>
      <w:r w:rsidRPr="00CC307A">
        <w:rPr>
          <w:color w:val="auto"/>
        </w:rPr>
        <w:t xml:space="preserve"> – </w:t>
      </w:r>
      <w:r>
        <w:rPr>
          <w:color w:val="auto"/>
        </w:rPr>
        <w:t>Natriumhydroxid-Gehalt im Rohrreiniger</w:t>
      </w:r>
      <w:bookmarkEnd w:id="0"/>
    </w:p>
    <w:p w:rsidR="006F6800" w:rsidRDefault="006F6800" w:rsidP="006F6800">
      <w:pPr>
        <w:pStyle w:val="berschrift2"/>
        <w:numPr>
          <w:ilvl w:val="0"/>
          <w:numId w:val="0"/>
        </w:numPr>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2.1pt;width:462.45pt;height:62.75pt;z-index:251660288;mso-width-relative:margin;mso-height-relative:margin" fillcolor="white [3201]" strokecolor="#4bacc6 [3208]" strokeweight="1pt">
            <v:stroke dashstyle="dash"/>
            <v:shadow color="#868686"/>
            <v:textbox style="mso-next-textbox:#_x0000_s1027">
              <w:txbxContent>
                <w:p w:rsidR="006F6800" w:rsidRPr="00F31EBF" w:rsidRDefault="006F6800" w:rsidP="006F6800">
                  <w:pPr>
                    <w:rPr>
                      <w:color w:val="auto"/>
                    </w:rPr>
                  </w:pPr>
                  <w:r>
                    <w:rPr>
                      <w:color w:val="auto"/>
                    </w:rPr>
                    <w:t xml:space="preserve">In diesem Versuch wird fester Rohrreiniger gelöst und mit Salzsäure titriert. Dies dient zur Bestimmung des Natriumhydroxid-Gehalts im Rohrreiniger. Im Vorfeld sollte der Säure- und Base-Begriff nach Arrhenius eingeführt worden sein. </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6F6800" w:rsidRPr="009C5E28" w:rsidTr="00B048C9">
        <w:tc>
          <w:tcPr>
            <w:tcW w:w="9322" w:type="dxa"/>
            <w:gridSpan w:val="9"/>
            <w:shd w:val="clear" w:color="auto" w:fill="4F81BD"/>
            <w:vAlign w:val="center"/>
          </w:tcPr>
          <w:p w:rsidR="006F6800" w:rsidRPr="00F31EBF" w:rsidRDefault="006F6800" w:rsidP="00B048C9">
            <w:pPr>
              <w:spacing w:after="0"/>
              <w:jc w:val="center"/>
              <w:rPr>
                <w:b/>
                <w:bCs/>
                <w:color w:val="FFFFFF" w:themeColor="background1"/>
              </w:rPr>
            </w:pPr>
            <w:r w:rsidRPr="00F31EBF">
              <w:rPr>
                <w:b/>
                <w:bCs/>
                <w:color w:val="FFFFFF" w:themeColor="background1"/>
              </w:rPr>
              <w:t>Gefahrenstoffe</w:t>
            </w:r>
          </w:p>
        </w:tc>
      </w:tr>
      <w:tr w:rsidR="006F6800" w:rsidRPr="009C5E28" w:rsidTr="00B048C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F6800" w:rsidRPr="009C5E28" w:rsidRDefault="006F6800" w:rsidP="00B048C9">
            <w:pPr>
              <w:spacing w:after="0" w:line="276" w:lineRule="auto"/>
              <w:jc w:val="center"/>
              <w:rPr>
                <w:b/>
                <w:bCs/>
              </w:rPr>
            </w:pPr>
            <w:r>
              <w:rPr>
                <w:sz w:val="20"/>
              </w:rPr>
              <w:t>Rohrreiniger</w:t>
            </w:r>
          </w:p>
        </w:tc>
        <w:tc>
          <w:tcPr>
            <w:tcW w:w="3177" w:type="dxa"/>
            <w:gridSpan w:val="3"/>
            <w:tcBorders>
              <w:top w:val="single" w:sz="8" w:space="0" w:color="4F81BD"/>
              <w:bottom w:val="single" w:sz="8" w:space="0" w:color="4F81BD"/>
            </w:tcBorders>
            <w:shd w:val="clear" w:color="auto" w:fill="auto"/>
            <w:vAlign w:val="center"/>
          </w:tcPr>
          <w:p w:rsidR="006F6800" w:rsidRPr="005008CC" w:rsidRDefault="006F6800" w:rsidP="00B048C9">
            <w:pPr>
              <w:spacing w:after="0"/>
              <w:jc w:val="center"/>
              <w:rPr>
                <w:sz w:val="20"/>
              </w:rPr>
            </w:pPr>
            <w:r w:rsidRPr="009C5E28">
              <w:rPr>
                <w:sz w:val="20"/>
              </w:rPr>
              <w:t xml:space="preserve">H: </w:t>
            </w:r>
            <w:r w:rsidRPr="005008CC">
              <w:rPr>
                <w:sz w:val="20"/>
              </w:rPr>
              <w:t>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F6800" w:rsidRPr="009C5E28" w:rsidRDefault="006F6800" w:rsidP="00B048C9">
            <w:pPr>
              <w:spacing w:after="0"/>
              <w:jc w:val="center"/>
            </w:pPr>
            <w:r w:rsidRPr="009C5E28">
              <w:rPr>
                <w:sz w:val="20"/>
              </w:rPr>
              <w:t xml:space="preserve">P: </w:t>
            </w:r>
            <w:r w:rsidRPr="005008CC">
              <w:rPr>
                <w:sz w:val="20"/>
              </w:rPr>
              <w:t>260, 264, 280, 310, 312, 301+ 330+ 331, 305+338, 405</w:t>
            </w:r>
          </w:p>
        </w:tc>
      </w:tr>
      <w:tr w:rsidR="006F6800" w:rsidRPr="009C5E28" w:rsidTr="00B048C9">
        <w:trPr>
          <w:trHeight w:val="434"/>
        </w:trPr>
        <w:tc>
          <w:tcPr>
            <w:tcW w:w="3027" w:type="dxa"/>
            <w:gridSpan w:val="3"/>
            <w:shd w:val="clear" w:color="auto" w:fill="auto"/>
            <w:vAlign w:val="center"/>
          </w:tcPr>
          <w:p w:rsidR="006F6800" w:rsidRPr="009C5E28" w:rsidRDefault="006F6800" w:rsidP="00B048C9">
            <w:pPr>
              <w:spacing w:after="0" w:line="276" w:lineRule="auto"/>
              <w:jc w:val="center"/>
              <w:rPr>
                <w:bCs/>
                <w:sz w:val="20"/>
              </w:rPr>
            </w:pPr>
            <w:r>
              <w:rPr>
                <w:color w:val="auto"/>
                <w:sz w:val="20"/>
                <w:szCs w:val="20"/>
              </w:rPr>
              <w:t>Salzsäure</w:t>
            </w:r>
          </w:p>
        </w:tc>
        <w:tc>
          <w:tcPr>
            <w:tcW w:w="3177" w:type="dxa"/>
            <w:gridSpan w:val="3"/>
            <w:shd w:val="clear" w:color="auto" w:fill="auto"/>
            <w:vAlign w:val="center"/>
          </w:tcPr>
          <w:p w:rsidR="006F6800" w:rsidRPr="009C5E28" w:rsidRDefault="006F6800" w:rsidP="00B048C9">
            <w:pPr>
              <w:pStyle w:val="Beschriftung"/>
              <w:spacing w:after="0"/>
              <w:jc w:val="center"/>
              <w:rPr>
                <w:sz w:val="20"/>
              </w:rPr>
            </w:pPr>
            <w:r w:rsidRPr="009C5E28">
              <w:rPr>
                <w:sz w:val="20"/>
              </w:rPr>
              <w:t xml:space="preserve">H: </w:t>
            </w:r>
            <w:r w:rsidRPr="005008CC">
              <w:rPr>
                <w:sz w:val="20"/>
              </w:rPr>
              <w:t>290</w:t>
            </w:r>
          </w:p>
        </w:tc>
        <w:tc>
          <w:tcPr>
            <w:tcW w:w="3118" w:type="dxa"/>
            <w:gridSpan w:val="3"/>
            <w:shd w:val="clear" w:color="auto" w:fill="auto"/>
            <w:vAlign w:val="center"/>
          </w:tcPr>
          <w:p w:rsidR="006F6800" w:rsidRPr="009C5E28" w:rsidRDefault="006F6800" w:rsidP="00B048C9">
            <w:pPr>
              <w:pStyle w:val="Beschriftung"/>
              <w:spacing w:after="0"/>
              <w:jc w:val="center"/>
              <w:rPr>
                <w:sz w:val="20"/>
              </w:rPr>
            </w:pPr>
            <w:r w:rsidRPr="009C5E28">
              <w:rPr>
                <w:sz w:val="20"/>
              </w:rPr>
              <w:t xml:space="preserve">P: </w:t>
            </w:r>
            <w:r>
              <w:t>-</w:t>
            </w:r>
          </w:p>
        </w:tc>
      </w:tr>
      <w:tr w:rsidR="006F6800" w:rsidRPr="009C5E28" w:rsidTr="00B048C9">
        <w:trPr>
          <w:trHeight w:val="434"/>
        </w:trPr>
        <w:tc>
          <w:tcPr>
            <w:tcW w:w="3027" w:type="dxa"/>
            <w:gridSpan w:val="3"/>
            <w:shd w:val="clear" w:color="auto" w:fill="auto"/>
            <w:vAlign w:val="center"/>
          </w:tcPr>
          <w:p w:rsidR="006F6800" w:rsidRDefault="006F6800" w:rsidP="00B048C9">
            <w:pPr>
              <w:spacing w:after="0" w:line="276" w:lineRule="auto"/>
              <w:jc w:val="center"/>
              <w:rPr>
                <w:color w:val="auto"/>
                <w:sz w:val="20"/>
                <w:szCs w:val="20"/>
              </w:rPr>
            </w:pPr>
            <w:r>
              <w:rPr>
                <w:color w:val="auto"/>
                <w:sz w:val="20"/>
                <w:szCs w:val="20"/>
              </w:rPr>
              <w:t>Phenolphtalein-Lösung</w:t>
            </w:r>
          </w:p>
        </w:tc>
        <w:tc>
          <w:tcPr>
            <w:tcW w:w="3177" w:type="dxa"/>
            <w:gridSpan w:val="3"/>
            <w:shd w:val="clear" w:color="auto" w:fill="auto"/>
            <w:vAlign w:val="center"/>
          </w:tcPr>
          <w:p w:rsidR="006F6800" w:rsidRPr="009C5E28" w:rsidRDefault="006F6800" w:rsidP="00B048C9">
            <w:pPr>
              <w:pStyle w:val="Beschriftung"/>
              <w:spacing w:after="0"/>
              <w:jc w:val="center"/>
              <w:rPr>
                <w:sz w:val="20"/>
              </w:rPr>
            </w:pPr>
            <w:r>
              <w:rPr>
                <w:sz w:val="20"/>
              </w:rPr>
              <w:t>H: 226, 319</w:t>
            </w:r>
          </w:p>
        </w:tc>
        <w:tc>
          <w:tcPr>
            <w:tcW w:w="3118" w:type="dxa"/>
            <w:gridSpan w:val="3"/>
            <w:shd w:val="clear" w:color="auto" w:fill="auto"/>
            <w:vAlign w:val="center"/>
          </w:tcPr>
          <w:p w:rsidR="006F6800" w:rsidRPr="009C5E28" w:rsidRDefault="006F6800" w:rsidP="00B048C9">
            <w:pPr>
              <w:pStyle w:val="Beschriftung"/>
              <w:spacing w:after="0"/>
              <w:jc w:val="center"/>
              <w:rPr>
                <w:sz w:val="20"/>
              </w:rPr>
            </w:pPr>
            <w:r>
              <w:rPr>
                <w:sz w:val="20"/>
              </w:rPr>
              <w:t>P: 210,280, 305+ 351+ 338, 337+ 313, 403+ 235</w:t>
            </w:r>
          </w:p>
        </w:tc>
      </w:tr>
      <w:tr w:rsidR="006F6800" w:rsidRPr="009C5E28" w:rsidTr="00B048C9">
        <w:tc>
          <w:tcPr>
            <w:tcW w:w="1009" w:type="dxa"/>
            <w:tcBorders>
              <w:top w:val="single" w:sz="8" w:space="0" w:color="4F81BD"/>
              <w:left w:val="single" w:sz="8" w:space="0" w:color="4F81BD"/>
              <w:bottom w:val="single" w:sz="8" w:space="0" w:color="4F81BD"/>
            </w:tcBorders>
            <w:shd w:val="clear" w:color="auto" w:fill="auto"/>
            <w:vAlign w:val="center"/>
          </w:tcPr>
          <w:p w:rsidR="006F6800" w:rsidRPr="009C5E28" w:rsidRDefault="006F6800" w:rsidP="00B048C9">
            <w:pPr>
              <w:spacing w:after="0"/>
              <w:jc w:val="center"/>
              <w:rPr>
                <w:b/>
                <w:bCs/>
              </w:rPr>
            </w:pPr>
            <w:r>
              <w:rPr>
                <w:b/>
                <w:bCs/>
                <w:noProof/>
                <w:lang w:eastAsia="de-DE"/>
              </w:rPr>
              <w:drawing>
                <wp:inline distT="0" distB="0" distL="0" distR="0">
                  <wp:extent cx="503525" cy="504000"/>
                  <wp:effectExtent l="19050" t="0" r="0" b="0"/>
                  <wp:docPr id="30" name="Bild 16" descr="C:\Users\Kristina\Documents\SVP CHEMIE\Piktogramm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Kristina\Documents\SVP CHEMIE\Piktogramme\Piktogramme\Ätzend.png"/>
                          <pic:cNvPicPr>
                            <a:picLocks noChangeAspect="1" noChangeArrowheads="1"/>
                          </pic:cNvPicPr>
                        </pic:nvPicPr>
                        <pic:blipFill>
                          <a:blip r:embed="rId5" cstate="print"/>
                          <a:srcRect/>
                          <a:stretch>
                            <a:fillRect/>
                          </a:stretch>
                        </pic:blipFill>
                        <pic:spPr bwMode="auto">
                          <a:xfrm>
                            <a:off x="0" y="0"/>
                            <a:ext cx="503525"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F6800" w:rsidRPr="009C5E28" w:rsidRDefault="006F6800" w:rsidP="00B048C9">
            <w:pPr>
              <w:spacing w:after="0"/>
              <w:jc w:val="center"/>
            </w:pPr>
            <w:r>
              <w:rPr>
                <w:noProof/>
                <w:lang w:eastAsia="de-DE"/>
              </w:rPr>
              <w:drawing>
                <wp:inline distT="0" distB="0" distL="0" distR="0">
                  <wp:extent cx="504190" cy="504190"/>
                  <wp:effectExtent l="0" t="0" r="0" b="0"/>
                  <wp:docPr id="1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F6800" w:rsidRPr="009C5E28" w:rsidRDefault="006F6800" w:rsidP="00B048C9">
            <w:pPr>
              <w:spacing w:after="0"/>
              <w:jc w:val="center"/>
            </w:pPr>
            <w:r>
              <w:rPr>
                <w:noProof/>
                <w:lang w:eastAsia="de-DE"/>
              </w:rPr>
              <w:drawing>
                <wp:inline distT="0" distB="0" distL="0" distR="0">
                  <wp:extent cx="503525" cy="504000"/>
                  <wp:effectExtent l="19050" t="0" r="0" b="0"/>
                  <wp:docPr id="31" name="Bild 17" descr="C:\Users\Kristina\Documents\SVP CHEMIE\Piktogramm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Kristina\Documents\SVP CHEMIE\Piktogramme\Piktogramme\Brennbar.png"/>
                          <pic:cNvPicPr>
                            <a:picLocks noChangeAspect="1" noChangeArrowheads="1"/>
                          </pic:cNvPicPr>
                        </pic:nvPicPr>
                        <pic:blipFill>
                          <a:blip r:embed="rId7" cstate="print"/>
                          <a:srcRect/>
                          <a:stretch>
                            <a:fillRect/>
                          </a:stretch>
                        </pic:blipFill>
                        <pic:spPr bwMode="auto">
                          <a:xfrm>
                            <a:off x="0" y="0"/>
                            <a:ext cx="503525"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F6800" w:rsidRPr="009C5E28" w:rsidRDefault="006F6800" w:rsidP="00B048C9">
            <w:pPr>
              <w:spacing w:after="0"/>
              <w:jc w:val="center"/>
            </w:pPr>
            <w:r>
              <w:rPr>
                <w:noProof/>
                <w:lang w:eastAsia="de-DE"/>
              </w:rPr>
              <w:drawing>
                <wp:inline distT="0" distB="0" distL="0" distR="0">
                  <wp:extent cx="504190" cy="504190"/>
                  <wp:effectExtent l="0" t="0" r="0" b="0"/>
                  <wp:docPr id="1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6F6800" w:rsidRPr="009C5E28" w:rsidRDefault="006F6800" w:rsidP="00B048C9">
            <w:pPr>
              <w:spacing w:after="0"/>
              <w:jc w:val="center"/>
            </w:pPr>
            <w:r>
              <w:rPr>
                <w:noProof/>
                <w:lang w:eastAsia="de-DE"/>
              </w:rPr>
              <w:drawing>
                <wp:inline distT="0" distB="0" distL="0" distR="0">
                  <wp:extent cx="504190" cy="504190"/>
                  <wp:effectExtent l="0" t="0" r="0" b="0"/>
                  <wp:docPr id="22"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6F6800" w:rsidRPr="009C5E28" w:rsidRDefault="006F6800" w:rsidP="00B048C9">
            <w:pPr>
              <w:spacing w:after="0"/>
              <w:jc w:val="center"/>
            </w:pPr>
            <w:r>
              <w:rPr>
                <w:noProof/>
                <w:lang w:eastAsia="de-DE"/>
              </w:rPr>
              <w:drawing>
                <wp:inline distT="0" distB="0" distL="0" distR="0">
                  <wp:extent cx="504190" cy="504190"/>
                  <wp:effectExtent l="0" t="0" r="0" b="0"/>
                  <wp:docPr id="23"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6F6800" w:rsidRPr="009C5E28" w:rsidRDefault="006F6800" w:rsidP="00B048C9">
            <w:pPr>
              <w:spacing w:after="0"/>
              <w:jc w:val="center"/>
            </w:pPr>
            <w:r>
              <w:rPr>
                <w:noProof/>
                <w:lang w:eastAsia="de-DE"/>
              </w:rPr>
              <w:drawing>
                <wp:inline distT="0" distB="0" distL="0" distR="0">
                  <wp:extent cx="504190" cy="504190"/>
                  <wp:effectExtent l="0" t="0" r="0" b="0"/>
                  <wp:docPr id="24"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F6800" w:rsidRPr="009C5E28" w:rsidRDefault="006F6800" w:rsidP="00B048C9">
            <w:pPr>
              <w:spacing w:after="0"/>
              <w:jc w:val="center"/>
            </w:pPr>
            <w:r>
              <w:rPr>
                <w:noProof/>
                <w:lang w:eastAsia="de-DE"/>
              </w:rPr>
              <w:drawing>
                <wp:inline distT="0" distB="0" distL="0" distR="0">
                  <wp:extent cx="511175" cy="511175"/>
                  <wp:effectExtent l="0" t="0" r="0" b="0"/>
                  <wp:docPr id="26"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6F6800" w:rsidRPr="009C5E28" w:rsidRDefault="006F6800" w:rsidP="00B048C9">
            <w:pPr>
              <w:spacing w:after="0"/>
              <w:jc w:val="center"/>
            </w:pPr>
            <w:r>
              <w:rPr>
                <w:noProof/>
                <w:lang w:eastAsia="de-DE"/>
              </w:rPr>
              <w:drawing>
                <wp:inline distT="0" distB="0" distL="0" distR="0">
                  <wp:extent cx="503844" cy="504000"/>
                  <wp:effectExtent l="19050" t="0" r="0" b="0"/>
                  <wp:docPr id="32" name="Bild 18" descr="C:\Users\Kristina\Documents\SVP CHEMIE\Piktogramme\Piktogramme\Grau\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Kristina\Documents\SVP CHEMIE\Piktogramme\Piktogramme\Grau\Umweltgefahr.png"/>
                          <pic:cNvPicPr>
                            <a:picLocks noChangeAspect="1" noChangeArrowheads="1"/>
                          </pic:cNvPicPr>
                        </pic:nvPicPr>
                        <pic:blipFill>
                          <a:blip r:embed="rId13" cstate="print"/>
                          <a:srcRect/>
                          <a:stretch>
                            <a:fillRect/>
                          </a:stretch>
                        </pic:blipFill>
                        <pic:spPr bwMode="auto">
                          <a:xfrm>
                            <a:off x="0" y="0"/>
                            <a:ext cx="503844" cy="504000"/>
                          </a:xfrm>
                          <a:prstGeom prst="rect">
                            <a:avLst/>
                          </a:prstGeom>
                          <a:noFill/>
                          <a:ln w="9525">
                            <a:noFill/>
                            <a:miter lim="800000"/>
                            <a:headEnd/>
                            <a:tailEnd/>
                          </a:ln>
                        </pic:spPr>
                      </pic:pic>
                    </a:graphicData>
                  </a:graphic>
                </wp:inline>
              </w:drawing>
            </w:r>
          </w:p>
        </w:tc>
      </w:tr>
    </w:tbl>
    <w:p w:rsidR="006F6800" w:rsidRDefault="006F6800" w:rsidP="006F6800">
      <w:pPr>
        <w:tabs>
          <w:tab w:val="left" w:pos="1701"/>
          <w:tab w:val="left" w:pos="1985"/>
        </w:tabs>
        <w:ind w:left="1980" w:hanging="1980"/>
      </w:pPr>
    </w:p>
    <w:p w:rsidR="006F6800" w:rsidRDefault="006F6800" w:rsidP="006F6800">
      <w:pPr>
        <w:tabs>
          <w:tab w:val="left" w:pos="1701"/>
          <w:tab w:val="left" w:pos="1985"/>
        </w:tabs>
        <w:ind w:left="1980" w:hanging="1980"/>
      </w:pPr>
      <w:r>
        <w:t xml:space="preserve">Materialien: </w:t>
      </w:r>
      <w:r>
        <w:tab/>
      </w:r>
      <w:r>
        <w:tab/>
        <w:t xml:space="preserve">Bürette, Trichter, </w:t>
      </w:r>
      <w:proofErr w:type="spellStart"/>
      <w:r>
        <w:t>Magnetrührer</w:t>
      </w:r>
      <w:proofErr w:type="spellEnd"/>
      <w:r>
        <w:t xml:space="preserve">, Pipette, </w:t>
      </w:r>
      <w:proofErr w:type="spellStart"/>
      <w:r>
        <w:t>Peleusball</w:t>
      </w:r>
      <w:proofErr w:type="spellEnd"/>
      <w:r>
        <w:t xml:space="preserve">, 2 Bechergläser (100 </w:t>
      </w:r>
      <w:proofErr w:type="spellStart"/>
      <w:r>
        <w:t>mL</w:t>
      </w:r>
      <w:proofErr w:type="spellEnd"/>
      <w:r>
        <w:t xml:space="preserve">), Bergerglas (250 </w:t>
      </w:r>
      <w:proofErr w:type="spellStart"/>
      <w:r>
        <w:t>mL</w:t>
      </w:r>
      <w:proofErr w:type="spellEnd"/>
      <w:r>
        <w:t>), Pinzette, Uhrglas, Stativ, Muffe</w:t>
      </w:r>
    </w:p>
    <w:p w:rsidR="006F6800" w:rsidRPr="00ED07C2" w:rsidRDefault="006F6800" w:rsidP="006F6800">
      <w:pPr>
        <w:tabs>
          <w:tab w:val="left" w:pos="1701"/>
          <w:tab w:val="left" w:pos="1985"/>
        </w:tabs>
        <w:ind w:left="1980" w:hanging="1980"/>
      </w:pPr>
      <w:r>
        <w:t>Chemikalien:</w:t>
      </w:r>
      <w:r>
        <w:tab/>
      </w:r>
      <w:r>
        <w:tab/>
        <w:t>Rohrreiniger, Phenolphtalein-Lösung, Salzsäure (1M)</w:t>
      </w:r>
    </w:p>
    <w:p w:rsidR="006F6800" w:rsidRDefault="006F6800" w:rsidP="006F6800">
      <w:pPr>
        <w:tabs>
          <w:tab w:val="left" w:pos="1701"/>
          <w:tab w:val="left" w:pos="1985"/>
        </w:tabs>
        <w:ind w:left="1980" w:hanging="1980"/>
      </w:pPr>
      <w:r>
        <w:t xml:space="preserve">Durchführung: </w:t>
      </w:r>
      <w:r>
        <w:tab/>
      </w:r>
      <w:r>
        <w:tab/>
      </w:r>
      <w:r>
        <w:tab/>
        <w:t>Es wird 1 g des Rohrreinigers auf einem Uhrglas abgewogen. Anschließend werden die im Rohrreiniger enthaltenen metallischen Bestandteile (Alum</w:t>
      </w:r>
      <w:r>
        <w:t>i</w:t>
      </w:r>
      <w:r>
        <w:t xml:space="preserve">nium) mit einer Pinzette entfernt. Danach werden die weißen Kügelchen im 100 </w:t>
      </w:r>
      <w:proofErr w:type="spellStart"/>
      <w:r>
        <w:t>mL</w:t>
      </w:r>
      <w:proofErr w:type="spellEnd"/>
      <w:r>
        <w:t xml:space="preserve"> destillierten Wasser gelöst. Dazu kann der </w:t>
      </w:r>
      <w:proofErr w:type="spellStart"/>
      <w:r>
        <w:t>Magnetrührer</w:t>
      </w:r>
      <w:proofErr w:type="spellEnd"/>
      <w:r>
        <w:t xml:space="preserve"> zur Hilfe genommen werden. Zu der Lösung werden fünf Tropfen Phenolpht</w:t>
      </w:r>
      <w:r>
        <w:t>a</w:t>
      </w:r>
      <w:r>
        <w:t>lein-Lösung gegeben. Die Bürette wird über einen Trichter mit der Salzsä</w:t>
      </w:r>
      <w:r>
        <w:t>u</w:t>
      </w:r>
      <w:r>
        <w:t>relösung befüllt. Anschließend wird die Lösung bis zur Entfärbung titriert.</w:t>
      </w:r>
    </w:p>
    <w:p w:rsidR="006F6800" w:rsidRDefault="006F6800" w:rsidP="006F6800">
      <w:pPr>
        <w:tabs>
          <w:tab w:val="left" w:pos="1701"/>
          <w:tab w:val="left" w:pos="1985"/>
        </w:tabs>
        <w:ind w:left="1980" w:hanging="1980"/>
      </w:pPr>
      <w:r>
        <w:t>Beobachtung:</w:t>
      </w:r>
      <w:r>
        <w:tab/>
      </w:r>
      <w:r>
        <w:tab/>
      </w:r>
      <w:r>
        <w:tab/>
        <w:t xml:space="preserve">Bei der Zugabe des Phenolphtaleins zeigt die Lösung eine pinke Färbung. Nach Ende der Titration hat sich die Lösung entfärbt und ist farblos (siehe Abbildung 2). Dies ist nach einer Zugabe von 10 </w:t>
      </w:r>
      <w:proofErr w:type="spellStart"/>
      <w:r>
        <w:t>mL</w:t>
      </w:r>
      <w:proofErr w:type="spellEnd"/>
      <w:r>
        <w:t xml:space="preserve"> geschehen.</w:t>
      </w:r>
    </w:p>
    <w:p w:rsidR="006F6800" w:rsidRDefault="006F6800" w:rsidP="006F6800">
      <w:pPr>
        <w:keepNext/>
        <w:tabs>
          <w:tab w:val="left" w:pos="1701"/>
          <w:tab w:val="left" w:pos="1985"/>
        </w:tabs>
        <w:ind w:left="720"/>
        <w:jc w:val="center"/>
      </w:pPr>
      <w:r>
        <w:lastRenderedPageBreak/>
        <w:t xml:space="preserve">1. </w:t>
      </w:r>
      <w:r>
        <w:rPr>
          <w:noProof/>
          <w:lang w:eastAsia="de-DE"/>
        </w:rPr>
        <w:drawing>
          <wp:inline distT="0" distB="0" distL="0" distR="0">
            <wp:extent cx="1421295" cy="2880000"/>
            <wp:effectExtent l="19050" t="0" r="7455" b="0"/>
            <wp:docPr id="33"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1421295" cy="2880000"/>
                    </a:xfrm>
                    <a:prstGeom prst="rect">
                      <a:avLst/>
                    </a:prstGeom>
                    <a:noFill/>
                    <a:ln w="9525">
                      <a:noFill/>
                      <a:miter lim="800000"/>
                      <a:headEnd/>
                      <a:tailEnd/>
                    </a:ln>
                  </pic:spPr>
                </pic:pic>
              </a:graphicData>
            </a:graphic>
          </wp:inline>
        </w:drawing>
      </w:r>
      <w:r>
        <w:tab/>
        <w:t>2.</w:t>
      </w:r>
      <w:r>
        <w:rPr>
          <w:noProof/>
          <w:lang w:eastAsia="de-DE"/>
        </w:rPr>
        <w:t xml:space="preserve"> </w:t>
      </w:r>
      <w:r>
        <w:rPr>
          <w:noProof/>
          <w:lang w:eastAsia="de-DE"/>
        </w:rPr>
        <w:drawing>
          <wp:inline distT="0" distB="0" distL="0" distR="0">
            <wp:extent cx="1118052" cy="2880000"/>
            <wp:effectExtent l="19050" t="0" r="5898" b="0"/>
            <wp:docPr id="34"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a:stretch>
                      <a:fillRect/>
                    </a:stretch>
                  </pic:blipFill>
                  <pic:spPr bwMode="auto">
                    <a:xfrm>
                      <a:off x="0" y="0"/>
                      <a:ext cx="1118052" cy="2880000"/>
                    </a:xfrm>
                    <a:prstGeom prst="rect">
                      <a:avLst/>
                    </a:prstGeom>
                    <a:noFill/>
                    <a:ln w="9525">
                      <a:noFill/>
                      <a:miter lim="800000"/>
                      <a:headEnd/>
                      <a:tailEnd/>
                    </a:ln>
                  </pic:spPr>
                </pic:pic>
              </a:graphicData>
            </a:graphic>
          </wp:inline>
        </w:drawing>
      </w:r>
    </w:p>
    <w:p w:rsidR="006F6800" w:rsidRDefault="006F6800" w:rsidP="006F6800">
      <w:pPr>
        <w:pStyle w:val="Beschriftung"/>
        <w:jc w:val="center"/>
      </w:pPr>
      <w:r>
        <w:t xml:space="preserve">Abb. 2 – </w:t>
      </w:r>
      <w:r>
        <w:rPr>
          <w:noProof/>
        </w:rPr>
        <w:t>1. Gelöster Rohrreiniger vor der Zugabe von Salzsäure-Lösung. 2. Gelöster Rohrreiniger nach Zugabe von Salzsäure-Lösung.</w:t>
      </w:r>
    </w:p>
    <w:p w:rsidR="006F6800" w:rsidRDefault="006F6800" w:rsidP="006F6800">
      <w:pPr>
        <w:tabs>
          <w:tab w:val="left" w:pos="1701"/>
          <w:tab w:val="left" w:pos="1985"/>
        </w:tabs>
        <w:ind w:left="2124" w:hanging="2124"/>
        <w:rPr>
          <w:noProof/>
        </w:rPr>
      </w:pPr>
      <w:r>
        <w:t>Deutung:</w:t>
      </w:r>
      <w:r>
        <w:tab/>
      </w:r>
      <w:r>
        <w:tab/>
      </w:r>
      <w:r>
        <w:tab/>
        <w:t>Phenolphtalein ist ein Indikator, der eine rosa Färbung in alkalischen Lösungen zeigt. Daher tritt diese Färbung bei der Zugabe des Phenolpht</w:t>
      </w:r>
      <w:r>
        <w:t>a</w:t>
      </w:r>
      <w:r>
        <w:t xml:space="preserve">leins zum gelösten Rohrreiniger auf, weil </w:t>
      </w:r>
      <w:proofErr w:type="gramStart"/>
      <w:r>
        <w:t>dieser</w:t>
      </w:r>
      <w:proofErr w:type="gramEnd"/>
      <w:r>
        <w:t xml:space="preserve"> Natriumhydroxid enthält. Nach der Titration mit Salzsäure ändert sich die Färbung der Lösung, da aufgrund der Neutralisationsreaktion von Hydroxid-Ionen mit Protonen Wasser entsteht. Die Hydroxid-Ionen werden verbraucht und der pH-Wert nimmt ab. Dieser Farbumschlag war nach einer Salzsäurezugabe von 10 </w:t>
      </w:r>
      <w:proofErr w:type="spellStart"/>
      <w:r>
        <w:t>mL</w:t>
      </w:r>
      <w:proofErr w:type="spellEnd"/>
      <w:r>
        <w:t xml:space="preserve"> zu beobachten. Es läuft folgende Neutralisationsreaktion ab:</w:t>
      </w:r>
    </w:p>
    <w:p w:rsidR="006F6800" w:rsidRPr="005011EF" w:rsidRDefault="006F6800" w:rsidP="006F6800">
      <w:pPr>
        <w:tabs>
          <w:tab w:val="left" w:pos="1701"/>
          <w:tab w:val="left" w:pos="1985"/>
        </w:tabs>
        <w:ind w:left="2124" w:hanging="2124"/>
        <w:rPr>
          <w:noProof/>
        </w:rPr>
      </w:pPr>
      <w:r>
        <w:rPr>
          <w:noProof/>
        </w:rPr>
        <w:tab/>
      </w:r>
      <w:r>
        <w:rPr>
          <w:noProof/>
        </w:rPr>
        <w:tab/>
      </w:r>
      <w:r>
        <w:rPr>
          <w:noProof/>
        </w:rPr>
        <w:tab/>
      </w:r>
      <w:r w:rsidRPr="005011EF">
        <w:rPr>
          <w:noProof/>
        </w:rPr>
        <w:t>OH</w:t>
      </w:r>
      <w:r w:rsidRPr="005011EF">
        <w:rPr>
          <w:noProof/>
          <w:vertAlign w:val="superscript"/>
        </w:rPr>
        <w:t>-</w:t>
      </w:r>
      <w:r w:rsidRPr="005011EF">
        <w:rPr>
          <w:noProof/>
          <w:vertAlign w:val="subscript"/>
        </w:rPr>
        <w:t>(aq)</w:t>
      </w:r>
      <w:r w:rsidRPr="005011EF">
        <w:rPr>
          <w:noProof/>
        </w:rPr>
        <w:t xml:space="preserve"> + H</w:t>
      </w:r>
      <w:r w:rsidRPr="005011EF">
        <w:rPr>
          <w:noProof/>
          <w:vertAlign w:val="superscript"/>
        </w:rPr>
        <w:t>+</w:t>
      </w:r>
      <w:r w:rsidRPr="005011EF">
        <w:rPr>
          <w:noProof/>
          <w:vertAlign w:val="subscript"/>
        </w:rPr>
        <w:t>(aq)</w:t>
      </w:r>
      <w:r w:rsidRPr="005011EF">
        <w:rPr>
          <w:noProof/>
        </w:rPr>
        <w:t xml:space="preserve"> ⇌ H</w:t>
      </w:r>
      <w:r w:rsidRPr="005011EF">
        <w:rPr>
          <w:noProof/>
          <w:vertAlign w:val="subscript"/>
        </w:rPr>
        <w:t>2</w:t>
      </w:r>
      <w:r>
        <w:rPr>
          <w:noProof/>
        </w:rPr>
        <w:t>O</w:t>
      </w:r>
      <w:r w:rsidRPr="005011EF">
        <w:rPr>
          <w:noProof/>
          <w:vertAlign w:val="subscript"/>
        </w:rPr>
        <w:t>(l)</w:t>
      </w:r>
    </w:p>
    <w:p w:rsidR="006F6800" w:rsidRDefault="006F6800" w:rsidP="006F6800">
      <w:pPr>
        <w:tabs>
          <w:tab w:val="left" w:pos="1701"/>
          <w:tab w:val="left" w:pos="1985"/>
        </w:tabs>
        <w:ind w:left="2124" w:hanging="2124"/>
        <w:rPr>
          <w:noProof/>
        </w:rPr>
      </w:pPr>
      <w:r w:rsidRPr="005011EF">
        <w:rPr>
          <w:noProof/>
        </w:rPr>
        <w:tab/>
      </w:r>
      <w:r w:rsidRPr="005011EF">
        <w:rPr>
          <w:noProof/>
        </w:rPr>
        <w:tab/>
      </w:r>
      <w:r w:rsidRPr="005011EF">
        <w:rPr>
          <w:noProof/>
        </w:rPr>
        <w:tab/>
      </w:r>
      <w:r>
        <w:rPr>
          <w:noProof/>
        </w:rPr>
        <w:t>Mithilfe des verbrauchten Salzsäurevolumens kann nun  berechnet werden, wie viel festes Natriumhydroxid in der eigenwogenen Masse des Rohrreinigers enthalten war. Dazu werden folgende Formeln verwendet:</w:t>
      </w:r>
    </w:p>
    <w:p w:rsidR="006F6800" w:rsidRDefault="006F6800" w:rsidP="006F6800">
      <w:pPr>
        <w:tabs>
          <w:tab w:val="left" w:pos="1701"/>
          <w:tab w:val="left" w:pos="1985"/>
        </w:tabs>
        <w:ind w:left="2124" w:firstLine="3"/>
        <w:rPr>
          <w:rFonts w:eastAsiaTheme="minorEastAsia"/>
          <w:i/>
          <w:noProof/>
          <w:color w:val="auto"/>
        </w:rPr>
      </w:pPr>
      <m:oMathPara>
        <m:oMath>
          <m:r>
            <w:rPr>
              <w:rFonts w:ascii="Cambria Math" w:eastAsiaTheme="minorEastAsia" w:hAnsi="Cambria Math"/>
              <w:noProof/>
              <w:color w:val="auto"/>
            </w:rPr>
            <m:t xml:space="preserve">c= </m:t>
          </m:r>
          <m:f>
            <m:fPr>
              <m:ctrlPr>
                <w:rPr>
                  <w:rFonts w:ascii="Cambria Math" w:eastAsiaTheme="minorEastAsia" w:hAnsi="Cambria Math"/>
                  <w:i/>
                  <w:noProof/>
                  <w:color w:val="auto"/>
                </w:rPr>
              </m:ctrlPr>
            </m:fPr>
            <m:num>
              <m:r>
                <w:rPr>
                  <w:rFonts w:ascii="Cambria Math" w:eastAsiaTheme="minorEastAsia" w:hAnsi="Cambria Math"/>
                  <w:noProof/>
                  <w:color w:val="auto"/>
                </w:rPr>
                <m:t>n</m:t>
              </m:r>
            </m:num>
            <m:den>
              <m:r>
                <w:rPr>
                  <w:rFonts w:ascii="Cambria Math" w:eastAsiaTheme="minorEastAsia" w:hAnsi="Cambria Math"/>
                  <w:noProof/>
                  <w:color w:val="auto"/>
                </w:rPr>
                <m:t>V</m:t>
              </m:r>
            </m:den>
          </m:f>
          <m:r>
            <w:rPr>
              <w:rFonts w:ascii="Cambria Math" w:eastAsiaTheme="minorEastAsia" w:hAnsi="Cambria Math"/>
              <w:noProof/>
              <w:color w:val="auto"/>
            </w:rPr>
            <m:t xml:space="preserve"> </m:t>
          </m:r>
          <m:r>
            <m:rPr>
              <m:sty m:val="p"/>
            </m:rPr>
            <w:rPr>
              <w:rFonts w:ascii="Cambria Math" w:eastAsiaTheme="minorEastAsia" w:hAnsi="Cambria Math"/>
              <w:noProof/>
              <w:color w:val="auto"/>
            </w:rPr>
            <m:t xml:space="preserve">und </m:t>
          </m:r>
          <m:r>
            <w:rPr>
              <w:rFonts w:ascii="Cambria Math" w:eastAsiaTheme="minorEastAsia" w:hAnsi="Cambria Math"/>
              <w:noProof/>
              <w:color w:val="auto"/>
            </w:rPr>
            <m:t>n=</m:t>
          </m:r>
          <m:f>
            <m:fPr>
              <m:ctrlPr>
                <w:rPr>
                  <w:rFonts w:ascii="Cambria Math" w:eastAsiaTheme="minorEastAsia" w:hAnsi="Cambria Math"/>
                  <w:i/>
                  <w:noProof/>
                  <w:color w:val="auto"/>
                </w:rPr>
              </m:ctrlPr>
            </m:fPr>
            <m:num>
              <m:r>
                <w:rPr>
                  <w:rFonts w:ascii="Cambria Math" w:eastAsiaTheme="minorEastAsia" w:hAnsi="Cambria Math"/>
                  <w:noProof/>
                  <w:color w:val="auto"/>
                </w:rPr>
                <m:t>m</m:t>
              </m:r>
            </m:num>
            <m:den>
              <m:r>
                <w:rPr>
                  <w:rFonts w:ascii="Cambria Math" w:eastAsiaTheme="minorEastAsia" w:hAnsi="Cambria Math"/>
                  <w:noProof/>
                  <w:color w:val="auto"/>
                </w:rPr>
                <m:t>M</m:t>
              </m:r>
            </m:den>
          </m:f>
        </m:oMath>
      </m:oMathPara>
    </w:p>
    <w:p w:rsidR="006F6800" w:rsidRDefault="006F6800" w:rsidP="006F6800">
      <w:pPr>
        <w:tabs>
          <w:tab w:val="left" w:pos="1701"/>
          <w:tab w:val="left" w:pos="1985"/>
        </w:tabs>
        <w:ind w:left="2124" w:firstLine="3"/>
        <w:rPr>
          <w:rFonts w:eastAsiaTheme="minorEastAsia"/>
          <w:noProof/>
          <w:color w:val="auto"/>
        </w:rPr>
      </w:pPr>
      <w:r>
        <w:rPr>
          <w:rFonts w:eastAsiaTheme="minorEastAsia"/>
          <w:noProof/>
          <w:color w:val="auto"/>
        </w:rPr>
        <w:t>Die Formel der Stoffmengenkonzentration wird nach der Stoffmenge umgestellt und es wird folgendes erhalten:</w:t>
      </w:r>
    </w:p>
    <w:p w:rsidR="006F6800" w:rsidRPr="00973C54" w:rsidRDefault="006F6800" w:rsidP="006F6800">
      <w:pPr>
        <w:tabs>
          <w:tab w:val="left" w:pos="1701"/>
          <w:tab w:val="left" w:pos="1985"/>
        </w:tabs>
        <w:ind w:left="2124" w:firstLine="3"/>
        <w:rPr>
          <w:rFonts w:eastAsiaTheme="minorEastAsia"/>
          <w:i/>
          <w:noProof/>
          <w:color w:val="auto"/>
        </w:rPr>
      </w:pPr>
      <m:oMathPara>
        <m:oMath>
          <m:r>
            <w:rPr>
              <w:rFonts w:ascii="Cambria Math" w:eastAsiaTheme="minorEastAsia" w:hAnsi="Cambria Math"/>
              <w:noProof/>
              <w:color w:val="auto"/>
            </w:rPr>
            <m:t xml:space="preserve">n=c∙V </m:t>
          </m:r>
          <m:r>
            <m:rPr>
              <m:sty m:val="p"/>
            </m:rPr>
            <w:rPr>
              <w:rFonts w:ascii="Cambria Math" w:eastAsiaTheme="minorEastAsia" w:hAnsi="Cambria Math"/>
              <w:noProof/>
              <w:color w:val="auto"/>
            </w:rPr>
            <m:t>und </m:t>
          </m:r>
          <m:r>
            <w:rPr>
              <w:rFonts w:ascii="Cambria Math" w:eastAsiaTheme="minorEastAsia" w:hAnsi="Cambria Math"/>
              <w:noProof/>
              <w:color w:val="auto"/>
            </w:rPr>
            <m:t xml:space="preserve">n= </m:t>
          </m:r>
          <m:f>
            <m:fPr>
              <m:ctrlPr>
                <w:rPr>
                  <w:rFonts w:ascii="Cambria Math" w:eastAsiaTheme="minorEastAsia" w:hAnsi="Cambria Math"/>
                  <w:i/>
                  <w:noProof/>
                  <w:color w:val="auto"/>
                </w:rPr>
              </m:ctrlPr>
            </m:fPr>
            <m:num>
              <m:r>
                <w:rPr>
                  <w:rFonts w:ascii="Cambria Math" w:eastAsiaTheme="minorEastAsia" w:hAnsi="Cambria Math"/>
                  <w:noProof/>
                  <w:color w:val="auto"/>
                </w:rPr>
                <m:t>m</m:t>
              </m:r>
            </m:num>
            <m:den>
              <m:r>
                <w:rPr>
                  <w:rFonts w:ascii="Cambria Math" w:eastAsiaTheme="minorEastAsia" w:hAnsi="Cambria Math"/>
                  <w:noProof/>
                  <w:color w:val="auto"/>
                </w:rPr>
                <m:t>M</m:t>
              </m:r>
            </m:den>
          </m:f>
        </m:oMath>
      </m:oMathPara>
    </w:p>
    <w:p w:rsidR="006F6800" w:rsidRPr="00973C54" w:rsidRDefault="006F6800" w:rsidP="006F6800">
      <w:pPr>
        <w:tabs>
          <w:tab w:val="left" w:pos="1701"/>
          <w:tab w:val="left" w:pos="1985"/>
        </w:tabs>
        <w:ind w:left="2124" w:firstLine="3"/>
        <w:rPr>
          <w:rFonts w:eastAsiaTheme="minorEastAsia"/>
          <w:noProof/>
          <w:color w:val="auto"/>
        </w:rPr>
      </w:pPr>
      <w:r>
        <w:rPr>
          <w:rFonts w:eastAsiaTheme="minorEastAsia"/>
          <w:noProof/>
          <w:color w:val="auto"/>
        </w:rPr>
        <w:t>nach der obigen Reaktionsgleichung gilt demnach:</w:t>
      </w:r>
    </w:p>
    <w:p w:rsidR="006F6800" w:rsidRPr="009A3BCF" w:rsidRDefault="006F6800" w:rsidP="006F6800">
      <w:pPr>
        <w:tabs>
          <w:tab w:val="left" w:pos="1701"/>
          <w:tab w:val="left" w:pos="1985"/>
        </w:tabs>
        <w:ind w:left="2124" w:hanging="2124"/>
        <w:rPr>
          <w:rFonts w:eastAsiaTheme="minorEastAsia"/>
          <w:noProof/>
          <w:color w:val="auto"/>
        </w:rPr>
      </w:pPr>
      <m:oMathPara>
        <m:oMath>
          <m:r>
            <w:rPr>
              <w:rFonts w:ascii="Cambria Math" w:eastAsiaTheme="minorEastAsia" w:hAnsi="Cambria Math"/>
              <w:noProof/>
              <w:color w:val="auto"/>
              <w:vertAlign w:val="superscript"/>
            </w:rPr>
            <w:lastRenderedPageBreak/>
            <m:t>V</m:t>
          </m:r>
          <m:d>
            <m:dPr>
              <m:ctrlPr>
                <w:rPr>
                  <w:rFonts w:ascii="Cambria Math" w:eastAsiaTheme="minorEastAsia" w:hAnsi="Cambria Math"/>
                  <w:noProof/>
                  <w:color w:val="auto"/>
                  <w:vertAlign w:val="superscript"/>
                </w:rPr>
              </m:ctrlPr>
            </m:dPr>
            <m:e>
              <m:r>
                <m:rPr>
                  <m:sty m:val="p"/>
                </m:rPr>
                <w:rPr>
                  <w:rFonts w:ascii="Cambria Math" w:eastAsiaTheme="minorEastAsia" w:hAnsi="Cambria Math"/>
                  <w:noProof/>
                  <w:color w:val="auto"/>
                  <w:vertAlign w:val="superscript"/>
                </w:rPr>
                <m:t>HCl</m:t>
              </m:r>
            </m:e>
          </m:d>
          <m:r>
            <m:rPr>
              <m:sty m:val="p"/>
            </m:rPr>
            <w:rPr>
              <w:rFonts w:ascii="Cambria Math" w:eastAsiaTheme="minorEastAsia" w:hAnsi="Cambria Math"/>
              <w:noProof/>
              <w:color w:val="auto"/>
              <w:vertAlign w:val="superscript"/>
            </w:rPr>
            <m:t xml:space="preserve">= </m:t>
          </m:r>
          <m:r>
            <w:rPr>
              <w:rFonts w:ascii="Cambria Math" w:eastAsiaTheme="minorEastAsia" w:hAnsi="Cambria Math"/>
              <w:noProof/>
              <w:color w:val="auto"/>
              <w:vertAlign w:val="superscript"/>
            </w:rPr>
            <m:t>m</m:t>
          </m:r>
          <m:d>
            <m:dPr>
              <m:ctrlPr>
                <w:rPr>
                  <w:rFonts w:ascii="Cambria Math" w:eastAsiaTheme="minorEastAsia" w:hAnsi="Cambria Math"/>
                  <w:noProof/>
                  <w:color w:val="auto"/>
                  <w:vertAlign w:val="superscript"/>
                </w:rPr>
              </m:ctrlPr>
            </m:dPr>
            <m:e>
              <m:sSup>
                <m:sSupPr>
                  <m:ctrlPr>
                    <w:rPr>
                      <w:rFonts w:ascii="Cambria Math" w:eastAsiaTheme="minorEastAsia" w:hAnsi="Cambria Math"/>
                      <w:noProof/>
                      <w:color w:val="auto"/>
                      <w:vertAlign w:val="superscript"/>
                    </w:rPr>
                  </m:ctrlPr>
                </m:sSupPr>
                <m:e>
                  <m:r>
                    <m:rPr>
                      <m:sty m:val="p"/>
                    </m:rPr>
                    <w:rPr>
                      <w:rFonts w:ascii="Cambria Math" w:eastAsiaTheme="minorEastAsia" w:hAnsi="Cambria Math"/>
                      <w:noProof/>
                      <w:color w:val="auto"/>
                      <w:vertAlign w:val="superscript"/>
                    </w:rPr>
                    <m:t>OH</m:t>
                  </m:r>
                </m:e>
                <m:sup>
                  <m:r>
                    <m:rPr>
                      <m:sty m:val="p"/>
                    </m:rPr>
                    <w:rPr>
                      <w:rFonts w:ascii="Cambria Math" w:eastAsiaTheme="minorEastAsia" w:hAnsi="Cambria Math"/>
                      <w:noProof/>
                      <w:color w:val="auto"/>
                      <w:vertAlign w:val="superscript"/>
                    </w:rPr>
                    <m:t>-</m:t>
                  </m:r>
                </m:sup>
              </m:sSup>
            </m:e>
          </m:d>
        </m:oMath>
      </m:oMathPara>
    </w:p>
    <w:p w:rsidR="006F6800" w:rsidRDefault="006F6800" w:rsidP="006F6800">
      <w:pPr>
        <w:tabs>
          <w:tab w:val="left" w:pos="1701"/>
          <w:tab w:val="left" w:pos="1985"/>
        </w:tabs>
        <w:ind w:left="2124" w:hanging="2124"/>
        <w:rPr>
          <w:rFonts w:eastAsiaTheme="minorEastAsia"/>
          <w:noProof/>
        </w:rPr>
      </w:pPr>
      <w:r>
        <w:rPr>
          <w:rFonts w:eastAsiaTheme="minorEastAsia"/>
          <w:noProof/>
        </w:rPr>
        <w:tab/>
      </w:r>
      <w:r>
        <w:rPr>
          <w:rFonts w:eastAsiaTheme="minorEastAsia"/>
          <w:noProof/>
        </w:rPr>
        <w:tab/>
      </w:r>
      <w:r>
        <w:rPr>
          <w:rFonts w:eastAsiaTheme="minorEastAsia"/>
          <w:noProof/>
        </w:rPr>
        <w:tab/>
        <w:t>Die Werte werden in die Formel eingesetzt, somit ergibt sich:</w:t>
      </w:r>
    </w:p>
    <w:p w:rsidR="006F6800" w:rsidRPr="00FF03F5" w:rsidRDefault="006F6800" w:rsidP="006F6800">
      <w:pPr>
        <w:tabs>
          <w:tab w:val="left" w:pos="1701"/>
          <w:tab w:val="left" w:pos="1985"/>
        </w:tabs>
        <w:ind w:left="2124" w:hanging="2124"/>
        <w:rPr>
          <w:rFonts w:eastAsiaTheme="minorEastAsia"/>
          <w:noProof/>
        </w:rPr>
      </w:pPr>
      <m:oMathPara>
        <m:oMath>
          <m:r>
            <w:rPr>
              <w:rFonts w:ascii="Cambria Math" w:eastAsiaTheme="minorEastAsia" w:hAnsi="Cambria Math"/>
              <w:noProof/>
              <w:vertAlign w:val="superscript"/>
            </w:rPr>
            <m:t xml:space="preserve">10 </m:t>
          </m:r>
          <m:r>
            <m:rPr>
              <m:sty m:val="p"/>
            </m:rPr>
            <w:rPr>
              <w:rFonts w:ascii="Cambria Math" w:eastAsiaTheme="minorEastAsia" w:hAnsi="Cambria Math"/>
              <w:noProof/>
              <w:vertAlign w:val="superscript"/>
            </w:rPr>
            <m:t xml:space="preserve">mL= </m:t>
          </m:r>
          <m:r>
            <w:rPr>
              <w:rFonts w:ascii="Cambria Math" w:eastAsiaTheme="minorEastAsia" w:hAnsi="Cambria Math"/>
              <w:noProof/>
              <w:vertAlign w:val="superscript"/>
            </w:rPr>
            <m:t xml:space="preserve">10 </m:t>
          </m:r>
          <m:r>
            <m:rPr>
              <m:sty m:val="p"/>
            </m:rPr>
            <w:rPr>
              <w:rFonts w:ascii="Cambria Math" w:eastAsiaTheme="minorEastAsia" w:hAnsi="Cambria Math"/>
              <w:noProof/>
              <w:vertAlign w:val="superscript"/>
            </w:rPr>
            <m:t>g</m:t>
          </m:r>
          <m:r>
            <w:rPr>
              <w:rFonts w:ascii="Cambria Math" w:eastAsiaTheme="minorEastAsia" w:hAnsi="Cambria Math"/>
              <w:noProof/>
              <w:vertAlign w:val="superscript"/>
            </w:rPr>
            <m:t xml:space="preserve"> </m:t>
          </m:r>
        </m:oMath>
      </m:oMathPara>
    </w:p>
    <w:p w:rsidR="006F6800" w:rsidRPr="0056694B" w:rsidRDefault="006F6800" w:rsidP="006F6800">
      <w:pPr>
        <w:spacing w:line="276" w:lineRule="auto"/>
        <w:rPr>
          <w:rFonts w:eastAsiaTheme="minorEastAsia"/>
          <w:noProof/>
        </w:rPr>
      </w:pPr>
      <w:r>
        <w:t>Entsorgung:</w:t>
      </w:r>
      <w:r>
        <w:tab/>
        <w:t xml:space="preserve">           </w:t>
      </w:r>
      <w:r>
        <w:tab/>
        <w:t xml:space="preserve">Die Lösung kann über den Abfluss entsorgt werden. </w:t>
      </w:r>
    </w:p>
    <w:p w:rsidR="006F6800" w:rsidRPr="00FD13F4" w:rsidRDefault="006F6800" w:rsidP="006F6800">
      <w:pPr>
        <w:spacing w:line="276" w:lineRule="auto"/>
        <w:rPr>
          <w:rFonts w:asciiTheme="majorHAnsi" w:eastAsiaTheme="majorEastAsia" w:hAnsiTheme="majorHAnsi" w:cstheme="majorBidi"/>
          <w:b/>
          <w:bCs/>
          <w:i/>
          <w:sz w:val="28"/>
          <w:szCs w:val="28"/>
        </w:rPr>
      </w:pPr>
      <w:r>
        <w:t>Literatur:</w:t>
      </w:r>
      <w:r>
        <w:tab/>
      </w:r>
      <w:r>
        <w:tab/>
      </w:r>
      <w:r>
        <w:rPr>
          <w:color w:val="auto"/>
        </w:rPr>
        <w:t xml:space="preserve">E.M. Neher, R. Herbst-Irmer </w:t>
      </w:r>
      <w:proofErr w:type="spellStart"/>
      <w:r w:rsidRPr="00FD13F4">
        <w:rPr>
          <w:rStyle w:val="HTMLZitat"/>
        </w:rPr>
        <w:t>shelx.uni</w:t>
      </w:r>
      <w:proofErr w:type="spellEnd"/>
      <w:r w:rsidRPr="00FD13F4">
        <w:rPr>
          <w:rStyle w:val="HTMLZitat"/>
        </w:rPr>
        <w:t>-</w:t>
      </w:r>
      <w:r>
        <w:rPr>
          <w:rStyle w:val="HTMLZitat"/>
        </w:rPr>
        <w:tab/>
      </w:r>
      <w:r>
        <w:rPr>
          <w:rStyle w:val="HTMLZitat"/>
        </w:rPr>
        <w:tab/>
      </w:r>
      <w:r>
        <w:rPr>
          <w:rStyle w:val="HTMLZitat"/>
        </w:rPr>
        <w:tab/>
      </w:r>
      <w:r>
        <w:rPr>
          <w:rStyle w:val="HTMLZitat"/>
        </w:rPr>
        <w:tab/>
      </w:r>
      <w:r>
        <w:rPr>
          <w:rStyle w:val="HTMLZitat"/>
        </w:rPr>
        <w:tab/>
      </w:r>
      <w:r>
        <w:rPr>
          <w:rStyle w:val="HTMLZitat"/>
        </w:rPr>
        <w:tab/>
      </w:r>
      <w:r>
        <w:rPr>
          <w:rStyle w:val="HTMLZitat"/>
        </w:rPr>
        <w:tab/>
      </w:r>
      <w:r w:rsidRPr="00FD13F4">
        <w:rPr>
          <w:rStyle w:val="HTMLZitat"/>
        </w:rPr>
        <w:t xml:space="preserve">ac.gwdg.de/~rherbst/eirmer/html/Projekttage_aus/Saeuren_Basen.doc, </w:t>
      </w:r>
      <w:r>
        <w:rPr>
          <w:rStyle w:val="HTMLZitat"/>
        </w:rPr>
        <w:tab/>
      </w:r>
      <w:r>
        <w:rPr>
          <w:rStyle w:val="HTMLZitat"/>
        </w:rPr>
        <w:tab/>
      </w:r>
      <w:r>
        <w:rPr>
          <w:rStyle w:val="HTMLZitat"/>
        </w:rPr>
        <w:tab/>
      </w:r>
      <w:r w:rsidRPr="00FD13F4">
        <w:rPr>
          <w:rStyle w:val="HTMLZitat"/>
        </w:rPr>
        <w:t>31.07.16 (Zuletzt abgerufen am 31.07.16 um 10:47 Uhr).</w:t>
      </w:r>
    </w:p>
    <w:p w:rsidR="006F6800" w:rsidRDefault="006F6800" w:rsidP="006F6800">
      <w:pPr>
        <w:tabs>
          <w:tab w:val="left" w:pos="1701"/>
          <w:tab w:val="left" w:pos="1985"/>
        </w:tabs>
        <w:ind w:left="1980" w:hanging="1980"/>
      </w:pPr>
    </w:p>
    <w:p w:rsidR="006F6800" w:rsidRDefault="006F6800" w:rsidP="006F6800">
      <w:pPr>
        <w:tabs>
          <w:tab w:val="left" w:pos="1701"/>
          <w:tab w:val="left" w:pos="1985"/>
        </w:tabs>
        <w:ind w:left="1980" w:hanging="1980"/>
      </w:pPr>
      <w:r>
        <w:pict>
          <v:shape id="_x0000_s1026" type="#_x0000_t202" style="width:462.45pt;height:239.9pt;mso-position-horizontal-relative:char;mso-position-vertical-relative:line;mso-width-relative:margin;mso-height-relative:margin" fillcolor="white [3201]" strokecolor="#c0504d [3205]" strokeweight="1pt">
            <v:stroke dashstyle="dash"/>
            <v:shadow color="#868686"/>
            <v:textbox style="mso-next-textbox:#_x0000_s1026">
              <w:txbxContent>
                <w:p w:rsidR="006F6800" w:rsidRPr="00F31EBF" w:rsidRDefault="006F6800" w:rsidP="006F6800">
                  <w:pPr>
                    <w:rPr>
                      <w:color w:val="auto"/>
                    </w:rPr>
                  </w:pPr>
                  <w:r w:rsidRPr="00F31EBF">
                    <w:rPr>
                      <w:b/>
                      <w:color w:val="auto"/>
                    </w:rPr>
                    <w:t xml:space="preserve">Unterrichtsanschlüsse </w:t>
                  </w:r>
                  <w:r>
                    <w:rPr>
                      <w:color w:val="auto"/>
                    </w:rPr>
                    <w:t>In diesem Versuch wird die klassische Säure-Base-Titration durchg</w:t>
                  </w:r>
                  <w:r>
                    <w:rPr>
                      <w:color w:val="auto"/>
                    </w:rPr>
                    <w:t>e</w:t>
                  </w:r>
                  <w:r>
                    <w:rPr>
                      <w:color w:val="auto"/>
                    </w:rPr>
                    <w:t>führt. Da der Einsatz von Phenolphtalein-Lösung in der Schule und gerade bei der Verwendung von Schülerinnen und Schüler umstritten bzw. verboten ist, ist dies ein Lehrerversuch. Der Farbumschlag ist gut zu erkennen, sodass sich dieser Versuch von allen Schülerinnen und Schülern gut wahrnehmen lässt. Zudem sollte auf die potentiellen Gefahren, die ein Rohrrein</w:t>
                  </w:r>
                  <w:r>
                    <w:rPr>
                      <w:color w:val="auto"/>
                    </w:rPr>
                    <w:t>i</w:t>
                  </w:r>
                  <w:r>
                    <w:rPr>
                      <w:color w:val="auto"/>
                    </w:rPr>
                    <w:t>ger birgt eingegangen werden. Die Gefahren sind zum einen das es stark ätzend bei Haut- und Augenkontakt wirkt und zum anderen, das bei falscher Anwendung mit anderen Reinigung</w:t>
                  </w:r>
                  <w:r>
                    <w:rPr>
                      <w:color w:val="auto"/>
                    </w:rPr>
                    <w:t>s</w:t>
                  </w:r>
                  <w:r>
                    <w:rPr>
                      <w:color w:val="auto"/>
                    </w:rPr>
                    <w:t>produkten Chlorgas entstehen lassen kann. Dieser Versuch hat einen großen Alltagsbezug, da die Schülerinnen und Schüler Rohrreiniger aus dem Haushalt kennen und womöglich bei der Mutter in der Anwendung gesehen haben. Als Alternative würde sich die Titration einer Seife</w:t>
                  </w:r>
                  <w:r>
                    <w:rPr>
                      <w:color w:val="auto"/>
                    </w:rPr>
                    <w:t>n</w:t>
                  </w:r>
                  <w:r>
                    <w:rPr>
                      <w:color w:val="auto"/>
                    </w:rPr>
                    <w:t>lösung anbieten. Diese Abwandlung kann auch von den Schülerinnen und Schülern durchg</w:t>
                  </w:r>
                  <w:r>
                    <w:rPr>
                      <w:color w:val="auto"/>
                    </w:rPr>
                    <w:t>e</w:t>
                  </w:r>
                  <w:r>
                    <w:rPr>
                      <w:color w:val="auto"/>
                    </w:rPr>
                    <w:t>führt werden.</w:t>
                  </w:r>
                </w:p>
              </w:txbxContent>
            </v:textbox>
            <w10:wrap type="none"/>
            <w10:anchorlock/>
          </v:shape>
        </w:pict>
      </w:r>
    </w:p>
    <w:p w:rsidR="00DF0669" w:rsidRDefault="00DF0669"/>
    <w:sectPr w:rsidR="00DF0669" w:rsidSect="00DF066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F6800"/>
    <w:rsid w:val="00493638"/>
    <w:rsid w:val="005008CC"/>
    <w:rsid w:val="006F6800"/>
    <w:rsid w:val="009D51FA"/>
    <w:rsid w:val="00DF066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F6800"/>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6F6800"/>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F6800"/>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F6800"/>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F680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F680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F680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F680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F680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F680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F6800"/>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6F6800"/>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6F6800"/>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6F6800"/>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6F6800"/>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6F6800"/>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6F680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F680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F6800"/>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6F6800"/>
    <w:pPr>
      <w:spacing w:line="240" w:lineRule="auto"/>
    </w:pPr>
    <w:rPr>
      <w:bCs/>
      <w:color w:val="auto"/>
      <w:sz w:val="18"/>
      <w:szCs w:val="18"/>
    </w:rPr>
  </w:style>
  <w:style w:type="character" w:styleId="HTMLZitat">
    <w:name w:val="HTML Cite"/>
    <w:basedOn w:val="Absatz-Standardschriftart"/>
    <w:uiPriority w:val="99"/>
    <w:semiHidden/>
    <w:unhideWhenUsed/>
    <w:rsid w:val="006F6800"/>
    <w:rPr>
      <w:i/>
      <w:iCs/>
    </w:rPr>
  </w:style>
  <w:style w:type="paragraph" w:styleId="Sprechblasentext">
    <w:name w:val="Balloon Text"/>
    <w:basedOn w:val="Standard"/>
    <w:link w:val="SprechblasentextZchn"/>
    <w:uiPriority w:val="99"/>
    <w:semiHidden/>
    <w:unhideWhenUsed/>
    <w:rsid w:val="006F680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6800"/>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377</Words>
  <Characters>2381</Characters>
  <Application>Microsoft Office Word</Application>
  <DocSecurity>0</DocSecurity>
  <Lines>19</Lines>
  <Paragraphs>5</Paragraphs>
  <ScaleCrop>false</ScaleCrop>
  <Company>HAASE</Company>
  <LinksUpToDate>false</LinksUpToDate>
  <CharactersWithSpaces>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Kristina</cp:lastModifiedBy>
  <cp:revision>2</cp:revision>
  <dcterms:created xsi:type="dcterms:W3CDTF">2016-08-10T10:58:00Z</dcterms:created>
  <dcterms:modified xsi:type="dcterms:W3CDTF">2016-08-10T11:00:00Z</dcterms:modified>
</cp:coreProperties>
</file>