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00" w:rsidRPr="00CC307A" w:rsidRDefault="00D42100" w:rsidP="00D42100">
      <w:pPr>
        <w:pStyle w:val="berschrift2"/>
        <w:rPr>
          <w:color w:val="auto"/>
        </w:rPr>
      </w:pPr>
      <w:bookmarkStart w:id="0" w:name="_Toc457758472"/>
      <w:r w:rsidRPr="00CC307A">
        <w:rPr>
          <w:color w:val="auto"/>
        </w:rPr>
        <w:t xml:space="preserve">V1 – </w:t>
      </w:r>
      <w:r>
        <w:rPr>
          <w:color w:val="auto"/>
        </w:rPr>
        <w:t xml:space="preserve">Bestimmung des </w:t>
      </w:r>
      <w:proofErr w:type="spellStart"/>
      <w:r>
        <w:rPr>
          <w:color w:val="auto"/>
        </w:rPr>
        <w:t>Sulfitgehaltes</w:t>
      </w:r>
      <w:proofErr w:type="spellEnd"/>
      <w:r>
        <w:rPr>
          <w:color w:val="auto"/>
        </w:rPr>
        <w:t xml:space="preserve"> in Weißwein mittels </w:t>
      </w:r>
      <w:proofErr w:type="spellStart"/>
      <w:r>
        <w:rPr>
          <w:color w:val="auto"/>
        </w:rPr>
        <w:t>Redoxtitration</w:t>
      </w:r>
      <w:bookmarkEnd w:id="0"/>
      <w:proofErr w:type="spellEnd"/>
    </w:p>
    <w:p w:rsidR="00D42100" w:rsidRDefault="00D42100" w:rsidP="00D42100">
      <w:pPr>
        <w:pStyle w:val="berschrift2"/>
        <w:numPr>
          <w:ilvl w:val="0"/>
          <w:numId w:val="0"/>
        </w:numPr>
      </w:pPr>
      <w:bookmarkStart w:id="1" w:name="_Toc425776595"/>
      <w:bookmarkStart w:id="2" w:name="_Toc456688591"/>
      <w:bookmarkStart w:id="3" w:name="_Toc456688607"/>
      <w:r w:rsidRPr="00D837BB">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5.25pt;width:462.45pt;height:98.55pt;z-index:251660288;mso-width-relative:margin;mso-height-relative:margin" fillcolor="white [3201]" strokecolor="#4bacc6 [3208]" strokeweight="1pt">
            <v:stroke dashstyle="dash"/>
            <v:shadow color="#868686"/>
            <v:textbox style="mso-next-textbox:#_x0000_s1027">
              <w:txbxContent>
                <w:p w:rsidR="00D42100" w:rsidRPr="00F31EBF" w:rsidRDefault="00D42100" w:rsidP="00D42100">
                  <w:pPr>
                    <w:rPr>
                      <w:color w:val="auto"/>
                    </w:rPr>
                  </w:pPr>
                  <w:r>
                    <w:rPr>
                      <w:color w:val="auto"/>
                    </w:rPr>
                    <w:t xml:space="preserve">In diesem Versuch wird mittels einer </w:t>
                  </w:r>
                  <w:proofErr w:type="spellStart"/>
                  <w:r>
                    <w:rPr>
                      <w:color w:val="auto"/>
                    </w:rPr>
                    <w:t>Redoxtitration</w:t>
                  </w:r>
                  <w:proofErr w:type="spellEnd"/>
                  <w:r>
                    <w:rPr>
                      <w:color w:val="auto"/>
                    </w:rPr>
                    <w:t xml:space="preserve"> der </w:t>
                  </w:r>
                  <w:proofErr w:type="spellStart"/>
                  <w:r>
                    <w:rPr>
                      <w:color w:val="auto"/>
                    </w:rPr>
                    <w:t>Sulfitgehalt</w:t>
                  </w:r>
                  <w:proofErr w:type="spellEnd"/>
                  <w:r>
                    <w:rPr>
                      <w:color w:val="auto"/>
                    </w:rPr>
                    <w:t xml:space="preserve"> im Weißwein bestimmt. Die Schülerinnen und Schüler sollten im Vorfeld das Prinzip einer Titration verstanden haben und dies auf neue Sachverhalte übertragen können. Des Weiteren sollten die Grundkenntnisse des chemischen Rechnens und das Aufstellen von Redoxreaktionen mit den Teilschritten b</w:t>
                  </w:r>
                  <w:r>
                    <w:rPr>
                      <w:color w:val="auto"/>
                    </w:rPr>
                    <w:t>e</w:t>
                  </w:r>
                  <w:r>
                    <w:rPr>
                      <w:color w:val="auto"/>
                    </w:rPr>
                    <w:t>herrscht werden.</w:t>
                  </w:r>
                </w:p>
              </w:txbxContent>
            </v:textbox>
            <w10:wrap type="square"/>
          </v:shape>
        </w:pict>
      </w:r>
      <w:bookmarkEnd w:id="1"/>
      <w:bookmarkEnd w:id="2"/>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42100" w:rsidRPr="009C5E28" w:rsidTr="00B048C9">
        <w:tc>
          <w:tcPr>
            <w:tcW w:w="9322" w:type="dxa"/>
            <w:gridSpan w:val="9"/>
            <w:shd w:val="clear" w:color="auto" w:fill="4F81BD"/>
            <w:vAlign w:val="center"/>
          </w:tcPr>
          <w:p w:rsidR="00D42100" w:rsidRPr="00F31EBF" w:rsidRDefault="00D42100" w:rsidP="00B048C9">
            <w:pPr>
              <w:spacing w:after="0"/>
              <w:jc w:val="center"/>
              <w:rPr>
                <w:b/>
                <w:bCs/>
                <w:color w:val="FFFFFF" w:themeColor="background1"/>
              </w:rPr>
            </w:pPr>
            <w:r w:rsidRPr="00F31EBF">
              <w:rPr>
                <w:b/>
                <w:bCs/>
                <w:color w:val="FFFFFF" w:themeColor="background1"/>
              </w:rPr>
              <w:t>Gefahrenstoffe</w:t>
            </w:r>
          </w:p>
        </w:tc>
      </w:tr>
      <w:tr w:rsidR="00D42100" w:rsidRPr="009C5E28" w:rsidTr="00B048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42100" w:rsidRPr="009C5E28" w:rsidRDefault="00D42100" w:rsidP="00B048C9">
            <w:pPr>
              <w:spacing w:after="0" w:line="276" w:lineRule="auto"/>
              <w:jc w:val="center"/>
              <w:rPr>
                <w:b/>
                <w:bCs/>
              </w:rPr>
            </w:pPr>
            <w:r>
              <w:rPr>
                <w:sz w:val="20"/>
              </w:rPr>
              <w:t>Weißwein</w:t>
            </w:r>
          </w:p>
        </w:tc>
        <w:tc>
          <w:tcPr>
            <w:tcW w:w="3177" w:type="dxa"/>
            <w:gridSpan w:val="3"/>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42100" w:rsidRPr="009C5E28" w:rsidRDefault="00D42100" w:rsidP="00B048C9">
            <w:pPr>
              <w:spacing w:after="0"/>
              <w:jc w:val="center"/>
            </w:pPr>
            <w:r w:rsidRPr="009C5E28">
              <w:rPr>
                <w:sz w:val="20"/>
              </w:rPr>
              <w:t xml:space="preserve">P: </w:t>
            </w:r>
            <w:r>
              <w:t>-</w:t>
            </w:r>
          </w:p>
        </w:tc>
      </w:tr>
      <w:tr w:rsidR="00D42100" w:rsidRPr="009C5E28" w:rsidTr="00B048C9">
        <w:trPr>
          <w:trHeight w:val="434"/>
        </w:trPr>
        <w:tc>
          <w:tcPr>
            <w:tcW w:w="3027" w:type="dxa"/>
            <w:gridSpan w:val="3"/>
            <w:shd w:val="clear" w:color="auto" w:fill="auto"/>
            <w:vAlign w:val="center"/>
          </w:tcPr>
          <w:p w:rsidR="00D42100" w:rsidRPr="009C5E28" w:rsidRDefault="00D42100" w:rsidP="00B048C9">
            <w:pPr>
              <w:spacing w:after="0" w:line="276" w:lineRule="auto"/>
              <w:jc w:val="center"/>
              <w:rPr>
                <w:bCs/>
                <w:sz w:val="20"/>
              </w:rPr>
            </w:pPr>
            <w:r>
              <w:rPr>
                <w:color w:val="auto"/>
                <w:sz w:val="20"/>
                <w:szCs w:val="20"/>
              </w:rPr>
              <w:t>Kaliumiodid</w:t>
            </w:r>
          </w:p>
        </w:tc>
        <w:tc>
          <w:tcPr>
            <w:tcW w:w="3177" w:type="dxa"/>
            <w:gridSpan w:val="3"/>
            <w:shd w:val="clear" w:color="auto" w:fill="auto"/>
            <w:vAlign w:val="center"/>
          </w:tcPr>
          <w:p w:rsidR="00D42100" w:rsidRPr="009C5E28" w:rsidRDefault="00D42100" w:rsidP="00B048C9">
            <w:pPr>
              <w:pStyle w:val="Beschriftung"/>
              <w:spacing w:after="0"/>
              <w:jc w:val="center"/>
              <w:rPr>
                <w:sz w:val="20"/>
              </w:rPr>
            </w:pPr>
            <w:r w:rsidRPr="009C5E28">
              <w:rPr>
                <w:sz w:val="20"/>
              </w:rPr>
              <w:t xml:space="preserve">H: </w:t>
            </w:r>
            <w:r>
              <w:t>-</w:t>
            </w:r>
          </w:p>
        </w:tc>
        <w:tc>
          <w:tcPr>
            <w:tcW w:w="3118" w:type="dxa"/>
            <w:gridSpan w:val="3"/>
            <w:shd w:val="clear" w:color="auto" w:fill="auto"/>
            <w:vAlign w:val="center"/>
          </w:tcPr>
          <w:p w:rsidR="00D42100" w:rsidRPr="009C5E28" w:rsidRDefault="00D42100" w:rsidP="00B048C9">
            <w:pPr>
              <w:pStyle w:val="Beschriftung"/>
              <w:spacing w:after="0"/>
              <w:jc w:val="center"/>
              <w:rPr>
                <w:sz w:val="20"/>
              </w:rPr>
            </w:pPr>
            <w:r w:rsidRPr="009C5E28">
              <w:rPr>
                <w:sz w:val="20"/>
              </w:rPr>
              <w:t xml:space="preserve">P: </w:t>
            </w:r>
            <w:r>
              <w:t>-</w:t>
            </w:r>
          </w:p>
        </w:tc>
      </w:tr>
      <w:tr w:rsidR="00D42100" w:rsidRPr="009C5E28" w:rsidTr="00B048C9">
        <w:trPr>
          <w:trHeight w:val="434"/>
        </w:trPr>
        <w:tc>
          <w:tcPr>
            <w:tcW w:w="3027" w:type="dxa"/>
            <w:gridSpan w:val="3"/>
            <w:shd w:val="clear" w:color="auto" w:fill="auto"/>
            <w:vAlign w:val="center"/>
          </w:tcPr>
          <w:p w:rsidR="00D42100" w:rsidRDefault="00D42100" w:rsidP="00B048C9">
            <w:pPr>
              <w:spacing w:after="0" w:line="276" w:lineRule="auto"/>
              <w:jc w:val="center"/>
              <w:rPr>
                <w:color w:val="auto"/>
                <w:sz w:val="20"/>
                <w:szCs w:val="20"/>
              </w:rPr>
            </w:pPr>
            <w:r>
              <w:rPr>
                <w:color w:val="auto"/>
                <w:sz w:val="20"/>
                <w:szCs w:val="20"/>
              </w:rPr>
              <w:t>Iod</w:t>
            </w:r>
          </w:p>
        </w:tc>
        <w:tc>
          <w:tcPr>
            <w:tcW w:w="3177" w:type="dxa"/>
            <w:gridSpan w:val="3"/>
            <w:shd w:val="clear" w:color="auto" w:fill="auto"/>
            <w:vAlign w:val="center"/>
          </w:tcPr>
          <w:p w:rsidR="00D42100" w:rsidRPr="009C5E28" w:rsidRDefault="00D42100" w:rsidP="00B048C9">
            <w:pPr>
              <w:pStyle w:val="Beschriftung"/>
              <w:spacing w:after="0"/>
              <w:jc w:val="center"/>
              <w:rPr>
                <w:sz w:val="20"/>
              </w:rPr>
            </w:pPr>
            <w:r>
              <w:rPr>
                <w:sz w:val="20"/>
              </w:rPr>
              <w:t>H: 312+ 332, 315, 319, 335, 372, 400</w:t>
            </w:r>
          </w:p>
        </w:tc>
        <w:tc>
          <w:tcPr>
            <w:tcW w:w="3118" w:type="dxa"/>
            <w:gridSpan w:val="3"/>
            <w:shd w:val="clear" w:color="auto" w:fill="auto"/>
            <w:vAlign w:val="center"/>
          </w:tcPr>
          <w:p w:rsidR="00D42100" w:rsidRPr="009C5E28" w:rsidRDefault="00D42100" w:rsidP="00B048C9">
            <w:pPr>
              <w:pStyle w:val="Beschriftung"/>
              <w:spacing w:after="0"/>
              <w:jc w:val="center"/>
              <w:rPr>
                <w:sz w:val="20"/>
              </w:rPr>
            </w:pPr>
            <w:r>
              <w:rPr>
                <w:sz w:val="20"/>
              </w:rPr>
              <w:t>P: 273, 302+ 352, 305+ 351+ 338, 314</w:t>
            </w:r>
          </w:p>
        </w:tc>
      </w:tr>
      <w:tr w:rsidR="00D42100" w:rsidRPr="009C5E28" w:rsidTr="00B048C9">
        <w:trPr>
          <w:trHeight w:val="434"/>
        </w:trPr>
        <w:tc>
          <w:tcPr>
            <w:tcW w:w="3027" w:type="dxa"/>
            <w:gridSpan w:val="3"/>
            <w:shd w:val="clear" w:color="auto" w:fill="auto"/>
            <w:vAlign w:val="center"/>
          </w:tcPr>
          <w:p w:rsidR="00D42100" w:rsidRDefault="00D42100" w:rsidP="00B048C9">
            <w:pPr>
              <w:spacing w:after="0" w:line="276" w:lineRule="auto"/>
              <w:jc w:val="center"/>
              <w:rPr>
                <w:color w:val="auto"/>
                <w:sz w:val="20"/>
                <w:szCs w:val="20"/>
              </w:rPr>
            </w:pPr>
            <w:proofErr w:type="spellStart"/>
            <w:r>
              <w:rPr>
                <w:color w:val="auto"/>
                <w:sz w:val="20"/>
                <w:szCs w:val="20"/>
              </w:rPr>
              <w:t>Natriumthiosulfat-Pentahydrat</w:t>
            </w:r>
            <w:proofErr w:type="spellEnd"/>
          </w:p>
        </w:tc>
        <w:tc>
          <w:tcPr>
            <w:tcW w:w="3177" w:type="dxa"/>
            <w:gridSpan w:val="3"/>
            <w:shd w:val="clear" w:color="auto" w:fill="auto"/>
            <w:vAlign w:val="center"/>
          </w:tcPr>
          <w:p w:rsidR="00D42100" w:rsidRPr="009C5E28" w:rsidRDefault="00D42100" w:rsidP="00B048C9">
            <w:pPr>
              <w:pStyle w:val="Beschriftung"/>
              <w:spacing w:after="0"/>
              <w:jc w:val="center"/>
              <w:rPr>
                <w:sz w:val="20"/>
              </w:rPr>
            </w:pPr>
            <w:r>
              <w:rPr>
                <w:sz w:val="20"/>
              </w:rPr>
              <w:t>H: -</w:t>
            </w:r>
          </w:p>
        </w:tc>
        <w:tc>
          <w:tcPr>
            <w:tcW w:w="3118" w:type="dxa"/>
            <w:gridSpan w:val="3"/>
            <w:shd w:val="clear" w:color="auto" w:fill="auto"/>
            <w:vAlign w:val="center"/>
          </w:tcPr>
          <w:p w:rsidR="00D42100" w:rsidRPr="009C5E28" w:rsidRDefault="00D42100" w:rsidP="00B048C9">
            <w:pPr>
              <w:pStyle w:val="Beschriftung"/>
              <w:spacing w:after="0"/>
              <w:jc w:val="center"/>
              <w:rPr>
                <w:sz w:val="20"/>
              </w:rPr>
            </w:pPr>
            <w:r>
              <w:rPr>
                <w:sz w:val="20"/>
              </w:rPr>
              <w:t>P: -</w:t>
            </w:r>
          </w:p>
        </w:tc>
      </w:tr>
      <w:tr w:rsidR="00D42100" w:rsidRPr="009C5E28" w:rsidTr="00B048C9">
        <w:trPr>
          <w:trHeight w:val="434"/>
        </w:trPr>
        <w:tc>
          <w:tcPr>
            <w:tcW w:w="3027" w:type="dxa"/>
            <w:gridSpan w:val="3"/>
            <w:shd w:val="clear" w:color="auto" w:fill="auto"/>
            <w:vAlign w:val="center"/>
          </w:tcPr>
          <w:p w:rsidR="00D42100" w:rsidRDefault="00D42100" w:rsidP="00B048C9">
            <w:pPr>
              <w:spacing w:after="0" w:line="276" w:lineRule="auto"/>
              <w:jc w:val="center"/>
              <w:rPr>
                <w:color w:val="auto"/>
                <w:sz w:val="20"/>
                <w:szCs w:val="20"/>
              </w:rPr>
            </w:pPr>
            <w:r>
              <w:rPr>
                <w:color w:val="auto"/>
                <w:sz w:val="20"/>
                <w:szCs w:val="20"/>
              </w:rPr>
              <w:t>Stärke</w:t>
            </w:r>
          </w:p>
        </w:tc>
        <w:tc>
          <w:tcPr>
            <w:tcW w:w="3177" w:type="dxa"/>
            <w:gridSpan w:val="3"/>
            <w:shd w:val="clear" w:color="auto" w:fill="auto"/>
            <w:vAlign w:val="center"/>
          </w:tcPr>
          <w:p w:rsidR="00D42100" w:rsidRPr="009C5E28" w:rsidRDefault="00D42100" w:rsidP="00B048C9">
            <w:pPr>
              <w:pStyle w:val="Beschriftung"/>
              <w:spacing w:after="0"/>
              <w:jc w:val="center"/>
              <w:rPr>
                <w:sz w:val="20"/>
              </w:rPr>
            </w:pPr>
            <w:r>
              <w:rPr>
                <w:sz w:val="20"/>
              </w:rPr>
              <w:t>H: -</w:t>
            </w:r>
          </w:p>
        </w:tc>
        <w:tc>
          <w:tcPr>
            <w:tcW w:w="3118" w:type="dxa"/>
            <w:gridSpan w:val="3"/>
            <w:shd w:val="clear" w:color="auto" w:fill="auto"/>
            <w:vAlign w:val="center"/>
          </w:tcPr>
          <w:p w:rsidR="00D42100" w:rsidRPr="009C5E28" w:rsidRDefault="00D42100" w:rsidP="00B048C9">
            <w:pPr>
              <w:pStyle w:val="Beschriftung"/>
              <w:spacing w:after="0"/>
              <w:jc w:val="center"/>
              <w:rPr>
                <w:sz w:val="20"/>
              </w:rPr>
            </w:pPr>
            <w:r>
              <w:rPr>
                <w:sz w:val="20"/>
              </w:rPr>
              <w:t>P: -</w:t>
            </w:r>
          </w:p>
        </w:tc>
      </w:tr>
      <w:tr w:rsidR="00D42100" w:rsidRPr="009C5E28" w:rsidTr="00B048C9">
        <w:tc>
          <w:tcPr>
            <w:tcW w:w="1009" w:type="dxa"/>
            <w:tcBorders>
              <w:top w:val="single" w:sz="8" w:space="0" w:color="4F81BD"/>
              <w:left w:val="single" w:sz="8" w:space="0" w:color="4F81BD"/>
              <w:bottom w:val="single" w:sz="8" w:space="0" w:color="4F81BD"/>
            </w:tcBorders>
            <w:shd w:val="clear" w:color="auto" w:fill="auto"/>
            <w:vAlign w:val="center"/>
          </w:tcPr>
          <w:p w:rsidR="00D42100" w:rsidRPr="009C5E28" w:rsidRDefault="00D42100" w:rsidP="00B048C9">
            <w:pPr>
              <w:spacing w:after="0"/>
              <w:jc w:val="center"/>
              <w:rPr>
                <w:b/>
                <w:bCs/>
              </w:rPr>
            </w:pPr>
            <w:r>
              <w:rPr>
                <w:b/>
                <w:bCs/>
                <w:noProof/>
                <w:lang w:eastAsia="de-DE"/>
              </w:rPr>
              <w:drawing>
                <wp:inline distT="0" distB="0" distL="0" distR="0">
                  <wp:extent cx="504282" cy="504000"/>
                  <wp:effectExtent l="19050" t="0" r="0" b="0"/>
                  <wp:docPr id="3" name="Bild 3" descr="C:\Users\Kristin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ocuments\SVP CHEMIE\Piktogramme\Piktogramme\Grau\Ätzend.png"/>
                          <pic:cNvPicPr>
                            <a:picLocks noChangeAspect="1" noChangeArrowheads="1"/>
                          </pic:cNvPicPr>
                        </pic:nvPicPr>
                        <pic:blipFill>
                          <a:blip r:embed="rId5" cstate="print"/>
                          <a:srcRect/>
                          <a:stretch>
                            <a:fillRect/>
                          </a:stretch>
                        </pic:blipFill>
                        <pic:spPr bwMode="auto">
                          <a:xfrm>
                            <a:off x="0" y="0"/>
                            <a:ext cx="504282"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42100" w:rsidRPr="009C5E28" w:rsidRDefault="00D42100" w:rsidP="00B048C9">
            <w:pPr>
              <w:spacing w:after="0"/>
              <w:jc w:val="center"/>
            </w:pPr>
            <w:r>
              <w:rPr>
                <w:noProof/>
                <w:lang w:eastAsia="de-DE"/>
              </w:rPr>
              <w:drawing>
                <wp:inline distT="0" distB="0" distL="0" distR="0">
                  <wp:extent cx="504040" cy="504000"/>
                  <wp:effectExtent l="19050" t="0" r="0" b="0"/>
                  <wp:docPr id="2" name="Bild 2" descr="C:\Users\Kristina\Documents\SVP CHEMIE\Piktogramm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ocuments\SVP CHEMIE\Piktogramme\Piktogramme\Umweltgefahr.png"/>
                          <pic:cNvPicPr>
                            <a:picLocks noChangeAspect="1" noChangeArrowheads="1"/>
                          </pic:cNvPicPr>
                        </pic:nvPicPr>
                        <pic:blipFill>
                          <a:blip r:embed="rId13" cstate="print"/>
                          <a:srcRect/>
                          <a:stretch>
                            <a:fillRect/>
                          </a:stretch>
                        </pic:blipFill>
                        <pic:spPr bwMode="auto">
                          <a:xfrm>
                            <a:off x="0" y="0"/>
                            <a:ext cx="504040" cy="504000"/>
                          </a:xfrm>
                          <a:prstGeom prst="rect">
                            <a:avLst/>
                          </a:prstGeom>
                          <a:noFill/>
                          <a:ln w="9525">
                            <a:noFill/>
                            <a:miter lim="800000"/>
                            <a:headEnd/>
                            <a:tailEnd/>
                          </a:ln>
                        </pic:spPr>
                      </pic:pic>
                    </a:graphicData>
                  </a:graphic>
                </wp:inline>
              </w:drawing>
            </w:r>
          </w:p>
        </w:tc>
      </w:tr>
    </w:tbl>
    <w:p w:rsidR="00D42100" w:rsidRDefault="00D42100" w:rsidP="00D42100">
      <w:pPr>
        <w:tabs>
          <w:tab w:val="left" w:pos="1701"/>
          <w:tab w:val="left" w:pos="1985"/>
        </w:tabs>
        <w:ind w:left="1980" w:hanging="1980"/>
      </w:pPr>
    </w:p>
    <w:p w:rsidR="00D42100" w:rsidRDefault="00D42100" w:rsidP="00D42100">
      <w:pPr>
        <w:tabs>
          <w:tab w:val="left" w:pos="1701"/>
          <w:tab w:val="left" w:pos="1985"/>
        </w:tabs>
        <w:ind w:left="1980" w:hanging="1980"/>
      </w:pPr>
      <w:r>
        <w:t xml:space="preserve">Materialien: </w:t>
      </w:r>
      <w:r>
        <w:tab/>
      </w:r>
      <w:r>
        <w:tab/>
        <w:t xml:space="preserve">Bürette, Trichter, Becherglas (500 </w:t>
      </w:r>
      <w:proofErr w:type="spellStart"/>
      <w:r>
        <w:t>mL</w:t>
      </w:r>
      <w:proofErr w:type="spellEnd"/>
      <w:r>
        <w:t xml:space="preserve">), </w:t>
      </w:r>
      <w:proofErr w:type="spellStart"/>
      <w:r>
        <w:t>Magnetrührer</w:t>
      </w:r>
      <w:proofErr w:type="spellEnd"/>
      <w:r>
        <w:t xml:space="preserve">, Pipette, </w:t>
      </w:r>
      <w:proofErr w:type="spellStart"/>
      <w:r>
        <w:t>Peleusball</w:t>
      </w:r>
      <w:proofErr w:type="spellEnd"/>
      <w:r>
        <w:t xml:space="preserve">, 2 Bechergläser (100 </w:t>
      </w:r>
      <w:proofErr w:type="spellStart"/>
      <w:r>
        <w:t>mL</w:t>
      </w:r>
      <w:proofErr w:type="spellEnd"/>
      <w:r>
        <w:t xml:space="preserve">), Bergerglas (250 </w:t>
      </w:r>
      <w:proofErr w:type="spellStart"/>
      <w:r>
        <w:t>mL</w:t>
      </w:r>
      <w:proofErr w:type="spellEnd"/>
      <w:r>
        <w:t>),</w:t>
      </w:r>
      <w:r w:rsidRPr="003536C5">
        <w:t xml:space="preserve"> </w:t>
      </w:r>
      <w:r>
        <w:t>Stativ, Muffe</w:t>
      </w:r>
    </w:p>
    <w:p w:rsidR="00D42100" w:rsidRPr="00ED07C2" w:rsidRDefault="00D42100" w:rsidP="00D42100">
      <w:pPr>
        <w:tabs>
          <w:tab w:val="left" w:pos="1701"/>
          <w:tab w:val="left" w:pos="1985"/>
        </w:tabs>
        <w:ind w:left="1980" w:hanging="1980"/>
      </w:pPr>
      <w:r>
        <w:t>Chemikalien:</w:t>
      </w:r>
      <w:r>
        <w:tab/>
      </w:r>
      <w:r>
        <w:tab/>
      </w:r>
      <w:proofErr w:type="spellStart"/>
      <w:r>
        <w:t>Iodlösung</w:t>
      </w:r>
      <w:proofErr w:type="spellEnd"/>
      <w:r>
        <w:t xml:space="preserve"> (Kaliumiodid und Iod 0,05 M), Stärkelösung, Weißwein, </w:t>
      </w:r>
      <w:proofErr w:type="spellStart"/>
      <w:r>
        <w:t>Natriumthiosulfat</w:t>
      </w:r>
      <w:proofErr w:type="spellEnd"/>
      <w:r>
        <w:t>-Lösung (0,05 M)</w:t>
      </w:r>
    </w:p>
    <w:p w:rsidR="00D42100" w:rsidRDefault="00D42100" w:rsidP="00D42100">
      <w:pPr>
        <w:tabs>
          <w:tab w:val="left" w:pos="1701"/>
          <w:tab w:val="left" w:pos="1985"/>
        </w:tabs>
        <w:ind w:left="1980" w:hanging="1980"/>
      </w:pPr>
      <w:r>
        <w:t xml:space="preserve">Durchführung: </w:t>
      </w:r>
      <w:r>
        <w:tab/>
      </w:r>
      <w:r>
        <w:tab/>
      </w:r>
      <w:r>
        <w:tab/>
        <w:t xml:space="preserve">Es werden 50 </w:t>
      </w:r>
      <w:proofErr w:type="spellStart"/>
      <w:r>
        <w:t>mL</w:t>
      </w:r>
      <w:proofErr w:type="spellEnd"/>
      <w:r>
        <w:t xml:space="preserve"> Weißwein in das Becherglas gegeben. Dazu werden 10 </w:t>
      </w:r>
      <w:proofErr w:type="spellStart"/>
      <w:r>
        <w:t>mL</w:t>
      </w:r>
      <w:proofErr w:type="spellEnd"/>
      <w:r>
        <w:t xml:space="preserve"> der </w:t>
      </w:r>
      <w:proofErr w:type="spellStart"/>
      <w:r>
        <w:t>Iodlösung</w:t>
      </w:r>
      <w:proofErr w:type="spellEnd"/>
      <w:r>
        <w:t xml:space="preserve"> und 2-3 </w:t>
      </w:r>
      <w:proofErr w:type="spellStart"/>
      <w:r>
        <w:t>mL</w:t>
      </w:r>
      <w:proofErr w:type="spellEnd"/>
      <w:r>
        <w:t xml:space="preserve"> Stärkelösung gegeben und gut durc</w:t>
      </w:r>
      <w:r>
        <w:t>h</w:t>
      </w:r>
      <w:r>
        <w:t xml:space="preserve">mischt. Anschließend wird mit </w:t>
      </w:r>
      <w:proofErr w:type="spellStart"/>
      <w:r>
        <w:t>Natriumthiosulfat</w:t>
      </w:r>
      <w:proofErr w:type="spellEnd"/>
      <w:r>
        <w:t xml:space="preserve"> bis zur Entfärbung ti</w:t>
      </w:r>
      <w:r>
        <w:t>t</w:t>
      </w:r>
      <w:r>
        <w:t>riert.</w:t>
      </w:r>
    </w:p>
    <w:p w:rsidR="00D42100" w:rsidRDefault="00D42100" w:rsidP="00D42100">
      <w:pPr>
        <w:tabs>
          <w:tab w:val="left" w:pos="1701"/>
          <w:tab w:val="left" w:pos="1985"/>
        </w:tabs>
        <w:ind w:left="1980" w:hanging="1980"/>
      </w:pPr>
      <w:r>
        <w:t>Beobachtung:</w:t>
      </w:r>
      <w:r>
        <w:tab/>
      </w:r>
      <w:r>
        <w:tab/>
      </w:r>
      <w:r>
        <w:tab/>
        <w:t>Bei der Zugabe der Stärkelösung zu dem Weißwein-</w:t>
      </w:r>
      <w:proofErr w:type="spellStart"/>
      <w:r>
        <w:t>Iodwasser</w:t>
      </w:r>
      <w:proofErr w:type="spellEnd"/>
      <w:r>
        <w:t>-Gemisch zeigt die Lösung eine dunkelblaue bis schwarze Färbung. Nach einem Ve</w:t>
      </w:r>
      <w:r>
        <w:t>r</w:t>
      </w:r>
      <w:r>
        <w:t xml:space="preserve">brauch von 9,5 </w:t>
      </w:r>
      <w:proofErr w:type="spellStart"/>
      <w:r>
        <w:t>mL</w:t>
      </w:r>
      <w:proofErr w:type="spellEnd"/>
      <w:r>
        <w:t xml:space="preserve"> der </w:t>
      </w:r>
      <w:proofErr w:type="spellStart"/>
      <w:r>
        <w:t>Thiosulfatlösung</w:t>
      </w:r>
      <w:proofErr w:type="spellEnd"/>
      <w:r>
        <w:t xml:space="preserve"> ist die Lösung vollständig entfärbt (siehe Abbildung 1).</w:t>
      </w:r>
    </w:p>
    <w:p w:rsidR="00D42100" w:rsidRDefault="00D42100" w:rsidP="00D42100">
      <w:pPr>
        <w:pStyle w:val="Listenabsatz"/>
        <w:keepNext/>
        <w:tabs>
          <w:tab w:val="left" w:pos="1701"/>
          <w:tab w:val="left" w:pos="1985"/>
        </w:tabs>
        <w:jc w:val="center"/>
      </w:pPr>
    </w:p>
    <w:p w:rsidR="00D42100" w:rsidRDefault="00D42100" w:rsidP="00D42100">
      <w:pPr>
        <w:pStyle w:val="Listenabsatz"/>
        <w:keepNext/>
        <w:numPr>
          <w:ilvl w:val="0"/>
          <w:numId w:val="2"/>
        </w:numPr>
        <w:tabs>
          <w:tab w:val="left" w:pos="1701"/>
          <w:tab w:val="left" w:pos="1985"/>
        </w:tabs>
        <w:jc w:val="center"/>
      </w:pPr>
      <w:r>
        <w:rPr>
          <w:noProof/>
          <w:lang w:eastAsia="de-DE"/>
        </w:rPr>
        <w:drawing>
          <wp:inline distT="0" distB="0" distL="0" distR="0">
            <wp:extent cx="1222988" cy="2684780"/>
            <wp:effectExtent l="0" t="0" r="0" b="0"/>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srcRect/>
                    <a:stretch/>
                  </pic:blipFill>
                  <pic:spPr bwMode="auto">
                    <a:xfrm>
                      <a:off x="0" y="0"/>
                      <a:ext cx="1223153" cy="268514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tab/>
        <w:t>2.</w:t>
      </w:r>
      <w:r>
        <w:rPr>
          <w:noProof/>
          <w:lang w:eastAsia="de-DE"/>
        </w:rPr>
        <w:t xml:space="preserve"> </w:t>
      </w:r>
      <w:r>
        <w:rPr>
          <w:noProof/>
          <w:lang w:eastAsia="de-DE"/>
        </w:rPr>
        <w:drawing>
          <wp:inline distT="0" distB="0" distL="0" distR="0">
            <wp:extent cx="1350645" cy="2681572"/>
            <wp:effectExtent l="0" t="0" r="0" b="0"/>
            <wp:docPr id="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srcRect/>
                    <a:stretch/>
                  </pic:blipFill>
                  <pic:spPr bwMode="auto">
                    <a:xfrm>
                      <a:off x="0" y="0"/>
                      <a:ext cx="1353102" cy="26864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42100" w:rsidRDefault="00D42100" w:rsidP="00D42100">
      <w:pPr>
        <w:pStyle w:val="Beschriftung"/>
        <w:jc w:val="center"/>
      </w:pPr>
      <w:r>
        <w:t xml:space="preserve">Abb. </w:t>
      </w:r>
      <w:r>
        <w:fldChar w:fldCharType="begin"/>
      </w:r>
      <w:r>
        <w:instrText xml:space="preserve"> SEQ Abb. \* ARABIC </w:instrText>
      </w:r>
      <w:r>
        <w:fldChar w:fldCharType="separate"/>
      </w:r>
      <w:r>
        <w:rPr>
          <w:noProof/>
        </w:rPr>
        <w:t>1</w:t>
      </w:r>
      <w:r>
        <w:fldChar w:fldCharType="end"/>
      </w:r>
      <w:r>
        <w:t xml:space="preserve"> – </w:t>
      </w:r>
      <w:r>
        <w:rPr>
          <w:noProof/>
        </w:rPr>
        <w:t>1. Weißwein-Iodwasser- Stärkegemisch vor der Zugabe von Natriumthiosulfat-Lösung. 2. Weißwein-Iodwasser- Stärkegemisch nach Zugabe von Natriumthiosulfat-Lösung.</w:t>
      </w:r>
    </w:p>
    <w:p w:rsidR="00D42100" w:rsidRDefault="00D42100" w:rsidP="00D42100">
      <w:pPr>
        <w:tabs>
          <w:tab w:val="left" w:pos="1701"/>
          <w:tab w:val="left" w:pos="1985"/>
        </w:tabs>
        <w:ind w:left="2124" w:hanging="2124"/>
        <w:rPr>
          <w:noProof/>
        </w:rPr>
      </w:pPr>
      <w:r>
        <w:t>Deutung:</w:t>
      </w:r>
      <w:r>
        <w:tab/>
      </w:r>
      <w:r>
        <w:tab/>
      </w:r>
      <w:r>
        <w:tab/>
        <w:t xml:space="preserve">Die dunkle Färbung des </w:t>
      </w:r>
      <w:r>
        <w:rPr>
          <w:noProof/>
        </w:rPr>
        <w:t>Weißwein-Iodwasser-Stärkegemisch ist durch die Bildung des farbigen Iod-Stärke-Komplexes bedingt. Dieser zeigt eine dunkelblaue bis schwarze Färbung auf. Iod liegt im Überschuss vor und wird mit der Natriumthiosulfatlösung oxidiert um auf die im Iod-Stärke-Komplex gebundenen Ionen zurückschließen zu können. Dieser Vorgang führt zu der Entfärbung des Gemisches. Folgende Reaktionen laufen ab.:</w:t>
      </w:r>
    </w:p>
    <w:p w:rsidR="00D42100" w:rsidRDefault="00D42100" w:rsidP="00D42100">
      <w:pPr>
        <w:tabs>
          <w:tab w:val="left" w:pos="1701"/>
          <w:tab w:val="left" w:pos="1985"/>
        </w:tabs>
        <w:ind w:left="2124" w:hanging="2124"/>
        <w:rPr>
          <w:noProof/>
          <w:lang w:val="en-US"/>
        </w:rPr>
      </w:pPr>
      <w:r>
        <w:rPr>
          <w:noProof/>
        </w:rPr>
        <w:tab/>
      </w:r>
      <w:r>
        <w:rPr>
          <w:noProof/>
        </w:rPr>
        <w:tab/>
      </w:r>
      <w:r>
        <w:rPr>
          <w:noProof/>
        </w:rPr>
        <w:tab/>
      </w:r>
      <w:r w:rsidRPr="00281905">
        <w:rPr>
          <w:noProof/>
          <w:lang w:val="en-US"/>
        </w:rPr>
        <w:t>SO</w:t>
      </w:r>
      <w:r w:rsidRPr="00281905">
        <w:rPr>
          <w:noProof/>
          <w:vertAlign w:val="subscript"/>
          <w:lang w:val="en-US"/>
        </w:rPr>
        <w:t>3</w:t>
      </w:r>
      <w:r w:rsidRPr="00281905">
        <w:rPr>
          <w:noProof/>
          <w:vertAlign w:val="superscript"/>
          <w:lang w:val="en-US"/>
        </w:rPr>
        <w:t>2-</w:t>
      </w:r>
      <w:r w:rsidRPr="00281905">
        <w:rPr>
          <w:noProof/>
          <w:vertAlign w:val="subscript"/>
          <w:lang w:val="en-US"/>
        </w:rPr>
        <w:t>(aq)</w:t>
      </w:r>
      <w:r w:rsidRPr="00281905">
        <w:rPr>
          <w:noProof/>
          <w:lang w:val="en-US"/>
        </w:rPr>
        <w:t xml:space="preserve"> + 3 H</w:t>
      </w:r>
      <w:r w:rsidRPr="00281905">
        <w:rPr>
          <w:noProof/>
          <w:vertAlign w:val="subscript"/>
          <w:lang w:val="en-US"/>
        </w:rPr>
        <w:t>2</w:t>
      </w:r>
      <w:r w:rsidRPr="00281905">
        <w:rPr>
          <w:noProof/>
          <w:lang w:val="en-US"/>
        </w:rPr>
        <w:t>O</w:t>
      </w:r>
      <w:r w:rsidRPr="00281905">
        <w:rPr>
          <w:noProof/>
          <w:vertAlign w:val="subscript"/>
          <w:lang w:val="en-US"/>
        </w:rPr>
        <w:t>(l)</w:t>
      </w:r>
      <w:r w:rsidRPr="00281905">
        <w:rPr>
          <w:noProof/>
          <w:lang w:val="en-US"/>
        </w:rPr>
        <w:t xml:space="preserve"> + I</w:t>
      </w:r>
      <w:r w:rsidRPr="00281905">
        <w:rPr>
          <w:noProof/>
          <w:vertAlign w:val="subscript"/>
          <w:lang w:val="en-US"/>
        </w:rPr>
        <w:t>2(aq)</w:t>
      </w:r>
      <w:r>
        <w:rPr>
          <w:noProof/>
          <w:lang w:val="en-US"/>
        </w:rPr>
        <w:t xml:space="preserve"> ⇌ SO</w:t>
      </w:r>
      <w:r w:rsidRPr="00281905">
        <w:rPr>
          <w:noProof/>
          <w:vertAlign w:val="subscript"/>
          <w:lang w:val="en-US"/>
        </w:rPr>
        <w:t>4</w:t>
      </w:r>
      <w:r w:rsidRPr="00281905">
        <w:rPr>
          <w:noProof/>
          <w:vertAlign w:val="superscript"/>
          <w:lang w:val="en-US"/>
        </w:rPr>
        <w:t>2-</w:t>
      </w:r>
      <w:r w:rsidRPr="00281905">
        <w:rPr>
          <w:noProof/>
          <w:vertAlign w:val="subscript"/>
          <w:lang w:val="en-US"/>
        </w:rPr>
        <w:t>(aq)</w:t>
      </w:r>
      <w:r>
        <w:rPr>
          <w:noProof/>
          <w:lang w:val="en-US"/>
        </w:rPr>
        <w:t>+ 2H</w:t>
      </w:r>
      <w:r w:rsidRPr="00281905">
        <w:rPr>
          <w:noProof/>
          <w:vertAlign w:val="subscript"/>
          <w:lang w:val="en-US"/>
        </w:rPr>
        <w:t>3</w:t>
      </w:r>
      <w:r>
        <w:rPr>
          <w:noProof/>
          <w:lang w:val="en-US"/>
        </w:rPr>
        <w:t>O</w:t>
      </w:r>
      <w:r w:rsidRPr="00281905">
        <w:rPr>
          <w:noProof/>
          <w:vertAlign w:val="superscript"/>
          <w:lang w:val="en-US"/>
        </w:rPr>
        <w:t>+</w:t>
      </w:r>
      <w:r w:rsidRPr="00281905">
        <w:rPr>
          <w:noProof/>
          <w:vertAlign w:val="subscript"/>
          <w:lang w:val="en-US"/>
        </w:rPr>
        <w:t>(aq)</w:t>
      </w:r>
      <w:r>
        <w:rPr>
          <w:noProof/>
          <w:lang w:val="en-US"/>
        </w:rPr>
        <w:t xml:space="preserve"> + 2 I</w:t>
      </w:r>
      <w:r w:rsidRPr="00281905">
        <w:rPr>
          <w:noProof/>
          <w:vertAlign w:val="superscript"/>
          <w:lang w:val="en-US"/>
        </w:rPr>
        <w:t>-</w:t>
      </w:r>
      <w:r w:rsidRPr="00281905">
        <w:rPr>
          <w:noProof/>
          <w:vertAlign w:val="subscript"/>
          <w:lang w:val="en-US"/>
        </w:rPr>
        <w:t>(aq)</w:t>
      </w:r>
      <w:r>
        <w:rPr>
          <w:noProof/>
          <w:lang w:val="en-US"/>
        </w:rPr>
        <w:t xml:space="preserve"> </w:t>
      </w:r>
      <w:r>
        <w:rPr>
          <w:noProof/>
          <w:lang w:val="en-US"/>
        </w:rPr>
        <w:tab/>
        <w:t>(1)</w:t>
      </w:r>
    </w:p>
    <w:p w:rsidR="00D42100" w:rsidRPr="003962C5" w:rsidRDefault="00D42100" w:rsidP="00D42100">
      <w:pPr>
        <w:tabs>
          <w:tab w:val="left" w:pos="1701"/>
          <w:tab w:val="left" w:pos="1985"/>
        </w:tabs>
        <w:ind w:left="2124" w:hanging="2124"/>
        <w:rPr>
          <w:noProof/>
        </w:rPr>
      </w:pPr>
      <w:r w:rsidRPr="008B3865">
        <w:rPr>
          <w:noProof/>
          <w:lang w:val="en-US"/>
        </w:rPr>
        <w:tab/>
      </w:r>
      <w:r w:rsidRPr="008B3865">
        <w:rPr>
          <w:noProof/>
          <w:lang w:val="en-US"/>
        </w:rPr>
        <w:tab/>
      </w:r>
      <w:r w:rsidRPr="008B3865">
        <w:rPr>
          <w:noProof/>
          <w:lang w:val="en-US"/>
        </w:rPr>
        <w:tab/>
      </w:r>
      <w:r>
        <w:rPr>
          <w:noProof/>
        </w:rPr>
        <w:t>Das Sulfit ist im Weißwein enthalten, um zu verhindern, dass Weine nachgären und zu Essig werden.</w:t>
      </w:r>
    </w:p>
    <w:p w:rsidR="00D42100" w:rsidRDefault="00D42100" w:rsidP="00D42100">
      <w:pPr>
        <w:tabs>
          <w:tab w:val="left" w:pos="1701"/>
          <w:tab w:val="left" w:pos="1985"/>
        </w:tabs>
        <w:ind w:left="2124" w:hanging="2124"/>
        <w:rPr>
          <w:noProof/>
        </w:rPr>
      </w:pPr>
      <w:r w:rsidRPr="00253364">
        <w:rPr>
          <w:noProof/>
        </w:rPr>
        <w:tab/>
      </w:r>
      <w:r w:rsidRPr="00253364">
        <w:rPr>
          <w:noProof/>
        </w:rPr>
        <w:tab/>
      </w:r>
      <w:r w:rsidRPr="00253364">
        <w:rPr>
          <w:noProof/>
        </w:rPr>
        <w:tab/>
      </w:r>
      <w:r w:rsidRPr="00C02CA6">
        <w:rPr>
          <w:noProof/>
        </w:rPr>
        <w:t>Bei dieser Reaktion findet e</w:t>
      </w:r>
      <w:r>
        <w:rPr>
          <w:noProof/>
        </w:rPr>
        <w:t xml:space="preserve">ine Oxidation des Sulfits zu Sulfat statt. </w:t>
      </w:r>
    </w:p>
    <w:p w:rsidR="00D42100" w:rsidRDefault="00D42100" w:rsidP="00D42100">
      <w:pPr>
        <w:tabs>
          <w:tab w:val="left" w:pos="1701"/>
          <w:tab w:val="left" w:pos="1985"/>
        </w:tabs>
        <w:ind w:left="2124" w:firstLine="3"/>
        <w:rPr>
          <w:noProof/>
        </w:rPr>
      </w:pPr>
      <w:r>
        <w:rPr>
          <w:noProof/>
        </w:rPr>
        <w:t>Die Reaktion der Rücktitration vom Iod im Überschuss mit Thiosulfat sieht wie folgt aus:</w:t>
      </w:r>
    </w:p>
    <w:p w:rsidR="00D42100" w:rsidRPr="003F4E9C" w:rsidRDefault="00D42100" w:rsidP="00D42100">
      <w:pPr>
        <w:tabs>
          <w:tab w:val="left" w:pos="1701"/>
          <w:tab w:val="left" w:pos="1985"/>
        </w:tabs>
        <w:ind w:left="2124" w:firstLine="3"/>
        <w:rPr>
          <w:noProof/>
          <w:lang w:val="en-US"/>
        </w:rPr>
      </w:pPr>
      <w:r w:rsidRPr="00C02CA6">
        <w:rPr>
          <w:noProof/>
          <w:lang w:val="en-US"/>
        </w:rPr>
        <w:t>2 S</w:t>
      </w:r>
      <w:r w:rsidRPr="00C02CA6">
        <w:rPr>
          <w:noProof/>
          <w:vertAlign w:val="subscript"/>
          <w:lang w:val="en-US"/>
        </w:rPr>
        <w:t>2</w:t>
      </w:r>
      <w:r w:rsidRPr="00C02CA6">
        <w:rPr>
          <w:noProof/>
          <w:lang w:val="en-US"/>
        </w:rPr>
        <w:t>O</w:t>
      </w:r>
      <w:r w:rsidRPr="00C02CA6">
        <w:rPr>
          <w:noProof/>
          <w:vertAlign w:val="subscript"/>
          <w:lang w:val="en-US"/>
        </w:rPr>
        <w:t>3</w:t>
      </w:r>
      <w:r w:rsidRPr="00C02CA6">
        <w:rPr>
          <w:noProof/>
          <w:vertAlign w:val="superscript"/>
          <w:lang w:val="en-US"/>
        </w:rPr>
        <w:t>2-</w:t>
      </w:r>
      <w:r w:rsidRPr="00C02CA6">
        <w:rPr>
          <w:noProof/>
          <w:vertAlign w:val="subscript"/>
          <w:lang w:val="en-US"/>
        </w:rPr>
        <w:t>(aq)</w:t>
      </w:r>
      <w:r w:rsidRPr="00C02CA6">
        <w:rPr>
          <w:noProof/>
          <w:lang w:val="en-US"/>
        </w:rPr>
        <w:t xml:space="preserve"> + I</w:t>
      </w:r>
      <w:r w:rsidRPr="00C02CA6">
        <w:rPr>
          <w:noProof/>
          <w:vertAlign w:val="subscript"/>
          <w:lang w:val="en-US"/>
        </w:rPr>
        <w:t>2(aq)</w:t>
      </w:r>
      <w:r w:rsidRPr="00C02CA6">
        <w:rPr>
          <w:noProof/>
          <w:lang w:val="en-US"/>
        </w:rPr>
        <w:t xml:space="preserve"> ⇌ S</w:t>
      </w:r>
      <w:r w:rsidRPr="00C02CA6">
        <w:rPr>
          <w:noProof/>
          <w:vertAlign w:val="subscript"/>
          <w:lang w:val="en-US"/>
        </w:rPr>
        <w:t>4</w:t>
      </w:r>
      <w:r w:rsidRPr="00C02CA6">
        <w:rPr>
          <w:noProof/>
          <w:lang w:val="en-US"/>
        </w:rPr>
        <w:t>O</w:t>
      </w:r>
      <w:r w:rsidRPr="00C02CA6">
        <w:rPr>
          <w:noProof/>
          <w:vertAlign w:val="subscript"/>
          <w:lang w:val="en-US"/>
        </w:rPr>
        <w:t>6</w:t>
      </w:r>
      <w:r w:rsidRPr="00C02CA6">
        <w:rPr>
          <w:noProof/>
          <w:vertAlign w:val="superscript"/>
          <w:lang w:val="en-US"/>
        </w:rPr>
        <w:t>2-</w:t>
      </w:r>
      <w:r w:rsidRPr="00C02CA6">
        <w:rPr>
          <w:noProof/>
          <w:vertAlign w:val="subscript"/>
          <w:lang w:val="en-US"/>
        </w:rPr>
        <w:t>(aq)</w:t>
      </w:r>
      <w:r>
        <w:rPr>
          <w:noProof/>
          <w:lang w:val="en-US"/>
        </w:rPr>
        <w:t xml:space="preserve"> + 2 I</w:t>
      </w:r>
      <w:r w:rsidRPr="00C02CA6">
        <w:rPr>
          <w:noProof/>
          <w:vertAlign w:val="superscript"/>
          <w:lang w:val="en-US"/>
        </w:rPr>
        <w:t>-</w:t>
      </w:r>
      <w:r w:rsidRPr="00C02CA6">
        <w:rPr>
          <w:noProof/>
          <w:vertAlign w:val="subscript"/>
          <w:lang w:val="en-US"/>
        </w:rPr>
        <w:t>(aq)</w:t>
      </w:r>
      <w:r>
        <w:rPr>
          <w:noProof/>
          <w:lang w:val="en-US"/>
        </w:rPr>
        <w:tab/>
      </w:r>
      <w:r>
        <w:rPr>
          <w:noProof/>
          <w:lang w:val="en-US"/>
        </w:rPr>
        <w:tab/>
      </w:r>
      <w:r>
        <w:rPr>
          <w:noProof/>
          <w:lang w:val="en-US"/>
        </w:rPr>
        <w:tab/>
      </w:r>
      <w:r>
        <w:rPr>
          <w:noProof/>
          <w:lang w:val="en-US"/>
        </w:rPr>
        <w:tab/>
        <w:t>(2)</w:t>
      </w:r>
    </w:p>
    <w:p w:rsidR="00D42100" w:rsidRDefault="00D42100" w:rsidP="00D42100">
      <w:pPr>
        <w:tabs>
          <w:tab w:val="left" w:pos="1701"/>
          <w:tab w:val="left" w:pos="1985"/>
        </w:tabs>
        <w:ind w:left="2124" w:firstLine="3"/>
        <w:rPr>
          <w:noProof/>
        </w:rPr>
      </w:pPr>
      <w:r w:rsidRPr="003F4E9C">
        <w:rPr>
          <w:noProof/>
        </w:rPr>
        <w:t>Aus der Reaktionsgleichung (2) ist n</w:t>
      </w:r>
      <w:r>
        <w:rPr>
          <w:noProof/>
        </w:rPr>
        <w:t xml:space="preserve">un das Stoffmengenverhältnis von Iod zu Thiosulfat ersichtlich. Es ist: </w:t>
      </w:r>
    </w:p>
    <w:p w:rsidR="00D42100" w:rsidRDefault="00D42100" w:rsidP="00D42100">
      <w:pPr>
        <w:tabs>
          <w:tab w:val="left" w:pos="1701"/>
          <w:tab w:val="left" w:pos="1985"/>
        </w:tabs>
        <w:ind w:left="2124" w:firstLine="3"/>
        <w:rPr>
          <w:noProof/>
        </w:rPr>
      </w:pPr>
      <w:r w:rsidRPr="003F4E9C">
        <w:rPr>
          <w:noProof/>
        </w:rPr>
        <w:t>n(I</w:t>
      </w:r>
      <w:r w:rsidRPr="003F4E9C">
        <w:rPr>
          <w:noProof/>
          <w:vertAlign w:val="subscript"/>
        </w:rPr>
        <w:t>2</w:t>
      </w:r>
      <w:r w:rsidRPr="003F4E9C">
        <w:rPr>
          <w:noProof/>
        </w:rPr>
        <w:t>) : n(S</w:t>
      </w:r>
      <w:r w:rsidRPr="003F4E9C">
        <w:rPr>
          <w:noProof/>
          <w:vertAlign w:val="subscript"/>
        </w:rPr>
        <w:t>2</w:t>
      </w:r>
      <w:r w:rsidRPr="003F4E9C">
        <w:rPr>
          <w:noProof/>
        </w:rPr>
        <w:t>O</w:t>
      </w:r>
      <w:r w:rsidRPr="003F4E9C">
        <w:rPr>
          <w:noProof/>
          <w:vertAlign w:val="subscript"/>
        </w:rPr>
        <w:t>3</w:t>
      </w:r>
      <w:r w:rsidRPr="003F4E9C">
        <w:rPr>
          <w:noProof/>
          <w:vertAlign w:val="superscript"/>
        </w:rPr>
        <w:t>2-</w:t>
      </w:r>
      <w:r w:rsidRPr="003F4E9C">
        <w:rPr>
          <w:noProof/>
        </w:rPr>
        <w:t xml:space="preserve">) = 1:2, </w:t>
      </w:r>
      <w:r>
        <w:rPr>
          <w:noProof/>
        </w:rPr>
        <w:t xml:space="preserve">m </w:t>
      </w:r>
      <w:r w:rsidRPr="003F4E9C">
        <w:rPr>
          <w:noProof/>
        </w:rPr>
        <w:t xml:space="preserve">d.h. 1 mL Thioslufatlösung zeigt </w:t>
      </w:r>
      <w:r>
        <w:rPr>
          <w:noProof/>
        </w:rPr>
        <w:t>0,5 mL unverbrauchte Iod-Lösung an. Nun können Berechnungen zum Sulfitgehalt im Weißwein folgen:</w:t>
      </w:r>
    </w:p>
    <w:p w:rsidR="00D42100" w:rsidRPr="00F67FFD" w:rsidRDefault="00D42100" w:rsidP="00D42100">
      <w:pPr>
        <w:tabs>
          <w:tab w:val="left" w:pos="1701"/>
          <w:tab w:val="left" w:pos="1985"/>
        </w:tabs>
        <w:ind w:left="2124" w:firstLine="3"/>
        <w:rPr>
          <w:noProof/>
        </w:rPr>
      </w:pPr>
      <w:r w:rsidRPr="00F67FFD">
        <w:rPr>
          <w:noProof/>
        </w:rPr>
        <w:t>V(S</w:t>
      </w:r>
      <w:r w:rsidRPr="00F67FFD">
        <w:rPr>
          <w:noProof/>
          <w:vertAlign w:val="subscript"/>
        </w:rPr>
        <w:t>2</w:t>
      </w:r>
      <w:r w:rsidRPr="00F67FFD">
        <w:rPr>
          <w:noProof/>
        </w:rPr>
        <w:t>O</w:t>
      </w:r>
      <w:r w:rsidRPr="00F67FFD">
        <w:rPr>
          <w:noProof/>
          <w:vertAlign w:val="subscript"/>
        </w:rPr>
        <w:t>3</w:t>
      </w:r>
      <w:r w:rsidRPr="00F67FFD">
        <w:rPr>
          <w:noProof/>
          <w:vertAlign w:val="superscript"/>
        </w:rPr>
        <w:t>2-</w:t>
      </w:r>
      <w:r w:rsidRPr="00F67FFD">
        <w:rPr>
          <w:noProof/>
        </w:rPr>
        <w:t>)= 9,5 mL, also V(I</w:t>
      </w:r>
      <w:r w:rsidRPr="00F67FFD">
        <w:rPr>
          <w:noProof/>
          <w:vertAlign w:val="subscript"/>
        </w:rPr>
        <w:t>2</w:t>
      </w:r>
      <w:r w:rsidRPr="00F67FFD">
        <w:rPr>
          <w:noProof/>
        </w:rPr>
        <w:t xml:space="preserve">)= 4,75 mL </w:t>
      </w:r>
    </w:p>
    <w:p w:rsidR="00D42100" w:rsidRDefault="00D42100" w:rsidP="00D42100">
      <w:pPr>
        <w:tabs>
          <w:tab w:val="left" w:pos="1701"/>
          <w:tab w:val="left" w:pos="1985"/>
        </w:tabs>
        <w:ind w:left="2124" w:firstLine="3"/>
        <w:rPr>
          <w:noProof/>
        </w:rPr>
      </w:pPr>
      <w:r>
        <w:rPr>
          <w:noProof/>
        </w:rPr>
        <w:lastRenderedPageBreak/>
        <w:t>Verbra</w:t>
      </w:r>
      <w:r w:rsidRPr="003F4E9C">
        <w:rPr>
          <w:noProof/>
        </w:rPr>
        <w:t>u</w:t>
      </w:r>
      <w:r>
        <w:rPr>
          <w:noProof/>
        </w:rPr>
        <w:t>c</w:t>
      </w:r>
      <w:r w:rsidRPr="003F4E9C">
        <w:rPr>
          <w:noProof/>
        </w:rPr>
        <w:t>h der Iodlösung für d</w:t>
      </w:r>
      <w:r>
        <w:rPr>
          <w:noProof/>
        </w:rPr>
        <w:t>ie Oxidation von Sulfit zu Sulfat:</w:t>
      </w:r>
    </w:p>
    <w:p w:rsidR="00D42100" w:rsidRDefault="00D42100" w:rsidP="00D42100">
      <w:pPr>
        <w:tabs>
          <w:tab w:val="left" w:pos="1701"/>
          <w:tab w:val="left" w:pos="1985"/>
        </w:tabs>
        <w:ind w:left="2124" w:firstLine="3"/>
        <w:rPr>
          <w:rFonts w:eastAsiaTheme="minorEastAsia"/>
          <w:noProof/>
        </w:rPr>
      </w:pPr>
      <m:oMath>
        <m:r>
          <w:rPr>
            <w:rFonts w:ascii="Cambria Math" w:hAnsi="Cambria Math"/>
            <w:noProof/>
          </w:rPr>
          <m:t xml:space="preserve">10 </m:t>
        </m:r>
        <m:r>
          <m:rPr>
            <m:sty m:val="p"/>
          </m:rPr>
          <w:rPr>
            <w:rFonts w:ascii="Cambria Math" w:hAnsi="Cambria Math"/>
            <w:noProof/>
          </w:rPr>
          <m:t>mL</m:t>
        </m:r>
        <m:r>
          <w:rPr>
            <w:rFonts w:ascii="Cambria Math" w:hAnsi="Cambria Math"/>
            <w:noProof/>
          </w:rPr>
          <m:t xml:space="preserve">-4,75 </m:t>
        </m:r>
        <m:r>
          <m:rPr>
            <m:sty m:val="p"/>
          </m:rPr>
          <w:rPr>
            <w:rFonts w:ascii="Cambria Math" w:hAnsi="Cambria Math"/>
            <w:noProof/>
          </w:rPr>
          <m:t>mL</m:t>
        </m:r>
        <m:r>
          <w:rPr>
            <w:rFonts w:ascii="Cambria Math" w:hAnsi="Cambria Math"/>
            <w:noProof/>
          </w:rPr>
          <m:t xml:space="preserve">=5,25 </m:t>
        </m:r>
        <m:r>
          <m:rPr>
            <m:sty m:val="p"/>
          </m:rPr>
          <w:rPr>
            <w:rFonts w:ascii="Cambria Math" w:hAnsi="Cambria Math"/>
            <w:noProof/>
          </w:rPr>
          <m:t>mL</m:t>
        </m:r>
      </m:oMath>
      <w:r>
        <w:rPr>
          <w:rFonts w:eastAsiaTheme="minorEastAsia"/>
          <w:noProof/>
        </w:rPr>
        <w:t xml:space="preserve">. Die 10 mL sind das Gesamtvolumen der eingesetzten Iodlösung. </w:t>
      </w:r>
    </w:p>
    <w:p w:rsidR="00D42100" w:rsidRPr="000F06DC" w:rsidRDefault="00D42100" w:rsidP="00D42100">
      <w:pPr>
        <w:tabs>
          <w:tab w:val="left" w:pos="1701"/>
          <w:tab w:val="left" w:pos="1985"/>
        </w:tabs>
        <w:ind w:left="2124" w:firstLine="3"/>
        <w:rPr>
          <w:rFonts w:eastAsiaTheme="minorEastAsia"/>
          <w:noProof/>
        </w:rPr>
      </w:pPr>
      <m:oMathPara>
        <m:oMath>
          <m:r>
            <w:rPr>
              <w:rFonts w:ascii="Cambria Math" w:hAnsi="Cambria Math"/>
              <w:noProof/>
            </w:rPr>
            <m:t>n</m:t>
          </m:r>
          <m:d>
            <m:dPr>
              <m:ctrlPr>
                <w:rPr>
                  <w:rFonts w:ascii="Cambria Math" w:hAnsi="Cambria Math"/>
                  <w:i/>
                  <w:noProof/>
                </w:rPr>
              </m:ctrlPr>
            </m:dPr>
            <m:e>
              <m:sSub>
                <m:sSubPr>
                  <m:ctrlPr>
                    <w:rPr>
                      <w:rFonts w:ascii="Cambria Math" w:hAnsi="Cambria Math"/>
                      <w:noProof/>
                    </w:rPr>
                  </m:ctrlPr>
                </m:sSubPr>
                <m:e>
                  <m:r>
                    <m:rPr>
                      <m:sty m:val="p"/>
                    </m:rPr>
                    <w:rPr>
                      <w:rFonts w:ascii="Cambria Math" w:hAnsi="Cambria Math"/>
                      <w:noProof/>
                    </w:rPr>
                    <m:t>I</m:t>
                  </m:r>
                </m:e>
                <m:sub>
                  <m:r>
                    <m:rPr>
                      <m:sty m:val="p"/>
                    </m:rPr>
                    <w:rPr>
                      <w:rFonts w:ascii="Cambria Math" w:hAnsi="Cambria Math"/>
                      <w:noProof/>
                    </w:rPr>
                    <m:t>2 Verbrauch</m:t>
                  </m:r>
                </m:sub>
              </m:sSub>
            </m:e>
          </m:d>
          <m:r>
            <w:rPr>
              <w:rFonts w:ascii="Cambria Math" w:hAnsi="Cambria Math"/>
              <w:noProof/>
            </w:rPr>
            <m:t xml:space="preserve">=c∙V=0,05 </m:t>
          </m:r>
          <m:f>
            <m:fPr>
              <m:ctrlPr>
                <w:rPr>
                  <w:rFonts w:ascii="Cambria Math" w:hAnsi="Cambria Math"/>
                  <w:noProof/>
                </w:rPr>
              </m:ctrlPr>
            </m:fPr>
            <m:num>
              <m:r>
                <m:rPr>
                  <m:sty m:val="p"/>
                </m:rPr>
                <w:rPr>
                  <w:rFonts w:ascii="Cambria Math" w:hAnsi="Cambria Math"/>
                  <w:noProof/>
                </w:rPr>
                <m:t>mol</m:t>
              </m:r>
            </m:num>
            <m:den>
              <m:r>
                <m:rPr>
                  <m:sty m:val="p"/>
                </m:rPr>
                <w:rPr>
                  <w:rFonts w:ascii="Cambria Math" w:hAnsi="Cambria Math"/>
                  <w:noProof/>
                </w:rPr>
                <m:t>L</m:t>
              </m:r>
            </m:den>
          </m:f>
          <m:r>
            <w:rPr>
              <w:rFonts w:ascii="Cambria Math" w:hAnsi="Cambria Math"/>
              <w:noProof/>
            </w:rPr>
            <m:t>∙5,25∙</m:t>
          </m:r>
          <m:sSup>
            <m:sSupPr>
              <m:ctrlPr>
                <w:rPr>
                  <w:rFonts w:ascii="Cambria Math" w:hAnsi="Cambria Math"/>
                  <w:i/>
                  <w:noProof/>
                </w:rPr>
              </m:ctrlPr>
            </m:sSupPr>
            <m:e>
              <m:r>
                <w:rPr>
                  <w:rFonts w:ascii="Cambria Math" w:hAnsi="Cambria Math"/>
                  <w:noProof/>
                </w:rPr>
                <m:t>10</m:t>
              </m:r>
            </m:e>
            <m:sup>
              <m:r>
                <w:rPr>
                  <w:rFonts w:ascii="Cambria Math" w:hAnsi="Cambria Math"/>
                  <w:noProof/>
                </w:rPr>
                <m:t>-3</m:t>
              </m:r>
            </m:sup>
          </m:sSup>
          <m:r>
            <m:rPr>
              <m:sty m:val="p"/>
            </m:rPr>
            <w:rPr>
              <w:rFonts w:ascii="Cambria Math" w:hAnsi="Cambria Math"/>
              <w:noProof/>
            </w:rPr>
            <m:t>L=2,625∙</m:t>
          </m:r>
          <m:sSup>
            <m:sSupPr>
              <m:ctrlPr>
                <w:rPr>
                  <w:rFonts w:ascii="Cambria Math" w:hAnsi="Cambria Math"/>
                  <w:noProof/>
                </w:rPr>
              </m:ctrlPr>
            </m:sSupPr>
            <m:e>
              <m:r>
                <m:rPr>
                  <m:sty m:val="p"/>
                </m:rPr>
                <w:rPr>
                  <w:rFonts w:ascii="Cambria Math" w:hAnsi="Cambria Math"/>
                  <w:noProof/>
                </w:rPr>
                <m:t>10</m:t>
              </m:r>
            </m:e>
            <m:sup>
              <m:r>
                <m:rPr>
                  <m:sty m:val="p"/>
                </m:rPr>
                <w:rPr>
                  <w:rFonts w:ascii="Cambria Math" w:hAnsi="Cambria Math"/>
                  <w:noProof/>
                </w:rPr>
                <m:t>-4</m:t>
              </m:r>
            </m:sup>
          </m:sSup>
          <m:r>
            <m:rPr>
              <m:sty m:val="p"/>
            </m:rPr>
            <w:rPr>
              <w:rFonts w:ascii="Cambria Math" w:hAnsi="Cambria Math"/>
              <w:noProof/>
            </w:rPr>
            <m:t xml:space="preserve">mol </m:t>
          </m:r>
        </m:oMath>
      </m:oMathPara>
    </w:p>
    <w:p w:rsidR="00D42100" w:rsidRDefault="00D42100" w:rsidP="00D42100">
      <w:pPr>
        <w:spacing w:line="276" w:lineRule="auto"/>
        <w:ind w:left="2268"/>
        <w:rPr>
          <w:rFonts w:eastAsiaTheme="minorEastAsia"/>
          <w:noProof/>
        </w:rPr>
      </w:pPr>
      <w:r>
        <w:rPr>
          <w:rFonts w:eastAsiaTheme="minorEastAsia"/>
          <w:noProof/>
        </w:rPr>
        <w:t xml:space="preserve">Aus der Reaktionsgleichung (1) ist es möglich das Stoffmengenverhältnis von Iod zu Sulfit abzulesen, dies ist </w:t>
      </w:r>
    </w:p>
    <w:p w:rsidR="00D42100" w:rsidRPr="008B3865" w:rsidRDefault="00D42100" w:rsidP="00D42100">
      <w:pPr>
        <w:spacing w:line="276" w:lineRule="auto"/>
        <w:ind w:left="2268"/>
        <w:rPr>
          <w:oMath/>
          <w:rFonts w:ascii="Cambria Math" w:eastAsiaTheme="minorEastAsia" w:hAnsi="Cambria Math"/>
          <w:noProof/>
        </w:rPr>
      </w:pPr>
      <m:oMathPara>
        <m:oMath>
          <m:r>
            <w:rPr>
              <w:rFonts w:ascii="Cambria Math" w:eastAsiaTheme="minorEastAsia" w:hAnsi="Cambria Math"/>
              <w:noProof/>
            </w:rPr>
            <m:t>n(</m:t>
          </m:r>
          <m:sSub>
            <m:sSubPr>
              <m:ctrlPr>
                <w:rPr>
                  <w:rFonts w:ascii="Cambria Math" w:eastAsiaTheme="minorEastAsia" w:hAnsi="Cambria Math"/>
                  <w:i/>
                  <w:noProof/>
                  <w:vertAlign w:val="subscript"/>
                </w:rPr>
              </m:ctrlPr>
            </m:sSubPr>
            <m:e>
              <m:r>
                <w:rPr>
                  <w:rFonts w:ascii="Cambria Math" w:eastAsiaTheme="minorEastAsia" w:hAnsi="Cambria Math"/>
                  <w:noProof/>
                  <w:vertAlign w:val="subscript"/>
                </w:rPr>
                <m:t>I</m:t>
              </m:r>
            </m:e>
            <m:sub>
              <m:r>
                <w:rPr>
                  <w:rFonts w:ascii="Cambria Math" w:eastAsiaTheme="minorEastAsia" w:hAnsi="Cambria Math"/>
                  <w:noProof/>
                  <w:vertAlign w:val="subscript"/>
                </w:rPr>
                <m:t>2</m:t>
              </m:r>
            </m:sub>
          </m:sSub>
          <m:r>
            <w:rPr>
              <w:rFonts w:ascii="Cambria Math" w:eastAsiaTheme="minorEastAsia" w:hAnsi="Cambria Math"/>
              <w:noProof/>
            </w:rPr>
            <m:t>): n(</m:t>
          </m:r>
          <m:sSubSup>
            <m:sSubSupPr>
              <m:ctrlPr>
                <w:rPr>
                  <w:rFonts w:ascii="Cambria Math" w:eastAsiaTheme="minorEastAsia" w:hAnsi="Cambria Math"/>
                  <w:i/>
                  <w:noProof/>
                </w:rPr>
              </m:ctrlPr>
            </m:sSubSupPr>
            <m:e>
              <m:r>
                <w:rPr>
                  <w:rFonts w:ascii="Cambria Math" w:eastAsiaTheme="minorEastAsia" w:hAnsi="Cambria Math"/>
                  <w:noProof/>
                </w:rPr>
                <m:t>SO</m:t>
              </m:r>
            </m:e>
            <m:sub>
              <m:r>
                <w:rPr>
                  <w:rFonts w:ascii="Cambria Math" w:eastAsiaTheme="minorEastAsia" w:hAnsi="Cambria Math"/>
                  <w:noProof/>
                </w:rPr>
                <m:t>3</m:t>
              </m:r>
            </m:sub>
            <m:sup>
              <m:r>
                <w:rPr>
                  <w:rFonts w:ascii="Cambria Math" w:eastAsiaTheme="minorEastAsia" w:hAnsi="Cambria Math"/>
                  <w:noProof/>
                </w:rPr>
                <m:t>2-</m:t>
              </m:r>
            </m:sup>
          </m:sSubSup>
          <m:r>
            <w:rPr>
              <w:rFonts w:ascii="Cambria Math" w:eastAsiaTheme="minorEastAsia" w:hAnsi="Cambria Math"/>
              <w:noProof/>
            </w:rPr>
            <m:t>) = 1:1,</m:t>
          </m:r>
        </m:oMath>
      </m:oMathPara>
    </w:p>
    <w:p w:rsidR="00D42100" w:rsidRDefault="00D42100" w:rsidP="00D42100">
      <w:pPr>
        <w:spacing w:line="276" w:lineRule="auto"/>
        <w:ind w:left="2268"/>
        <w:rPr>
          <w:rFonts w:eastAsiaTheme="minorEastAsia"/>
          <w:noProof/>
        </w:rPr>
      </w:pPr>
      <w:r>
        <w:rPr>
          <w:rFonts w:eastAsiaTheme="minorEastAsia"/>
          <w:noProof/>
        </w:rPr>
        <w:t xml:space="preserve"> d.h. in der Probe waren </w:t>
      </w:r>
      <m:oMath>
        <m:r>
          <m:rPr>
            <m:sty m:val="p"/>
          </m:rPr>
          <w:rPr>
            <w:rFonts w:ascii="Cambria Math" w:hAnsi="Cambria Math"/>
            <w:noProof/>
          </w:rPr>
          <m:t>2,625∙</m:t>
        </m:r>
        <m:sSup>
          <m:sSupPr>
            <m:ctrlPr>
              <w:rPr>
                <w:rFonts w:ascii="Cambria Math" w:hAnsi="Cambria Math"/>
                <w:noProof/>
              </w:rPr>
            </m:ctrlPr>
          </m:sSupPr>
          <m:e>
            <m:r>
              <m:rPr>
                <m:sty m:val="p"/>
              </m:rPr>
              <w:rPr>
                <w:rFonts w:ascii="Cambria Math" w:hAnsi="Cambria Math"/>
                <w:noProof/>
              </w:rPr>
              <m:t>10</m:t>
            </m:r>
          </m:e>
          <m:sup>
            <m:r>
              <m:rPr>
                <m:sty m:val="p"/>
              </m:rPr>
              <w:rPr>
                <w:rFonts w:ascii="Cambria Math" w:hAnsi="Cambria Math"/>
                <w:noProof/>
              </w:rPr>
              <m:t>-4</m:t>
            </m:r>
          </m:sup>
        </m:sSup>
        <m:r>
          <m:rPr>
            <m:sty m:val="p"/>
          </m:rPr>
          <w:rPr>
            <w:rFonts w:ascii="Cambria Math" w:hAnsi="Cambria Math"/>
            <w:noProof/>
          </w:rPr>
          <m:t>mol</m:t>
        </m:r>
      </m:oMath>
      <w:r>
        <w:rPr>
          <w:rFonts w:eastAsiaTheme="minorEastAsia"/>
          <w:noProof/>
        </w:rPr>
        <w:t xml:space="preserve"> Sulfitionen enthalten. Letztendlich kann nun die Konzentration der Sulfitionen berechnet werden und mit den Höchstmengenangaben verglichen werden. Dabei ist zu beachten, dass Iod nicht nur das im Wein enthaltene Sulfit oxidiert, sondern auch den enthaltenen Zucker genauso wie das Ethanol zu Ethanal. Die Sulfite werden dem Wein beigemischt um diese Oxidation des Alkohols zu verhindern und den Wein dadurch länger haltbar zu machen. Wird das Sulfit nun oxidiert, wird die Oxidation des Alkohols nicht mehr gehemmt und durch das überschüssige Iod geschehen.</w:t>
      </w:r>
    </w:p>
    <w:p w:rsidR="00D42100" w:rsidRPr="000F06DC" w:rsidRDefault="00D42100" w:rsidP="00D42100">
      <w:pPr>
        <w:spacing w:line="276" w:lineRule="auto"/>
        <w:rPr>
          <w:rFonts w:eastAsiaTheme="minorEastAsia"/>
          <w:noProof/>
          <w:lang w:val="en-US"/>
        </w:rPr>
      </w:pPr>
      <w:r>
        <w:rPr>
          <w:rFonts w:eastAsiaTheme="minorEastAsia"/>
          <w:noProof/>
        </w:rPr>
        <w:tab/>
      </w:r>
      <w:r>
        <w:rPr>
          <w:rFonts w:eastAsiaTheme="minorEastAsia"/>
          <w:noProof/>
        </w:rPr>
        <w:tab/>
      </w:r>
      <w:r>
        <w:rPr>
          <w:rFonts w:eastAsiaTheme="minorEastAsia"/>
          <w:noProof/>
        </w:rPr>
        <w:tab/>
      </w:r>
      <m:oMath>
        <m:r>
          <w:rPr>
            <w:rFonts w:ascii="Cambria Math" w:eastAsiaTheme="minorEastAsia" w:hAnsi="Cambria Math"/>
            <w:noProof/>
          </w:rPr>
          <m:t>c</m:t>
        </m:r>
        <m:d>
          <m:dPr>
            <m:ctrlPr>
              <w:rPr>
                <w:rFonts w:ascii="Cambria Math" w:eastAsiaTheme="minorEastAsia" w:hAnsi="Cambria Math"/>
                <w:i/>
                <w:noProof/>
              </w:rPr>
            </m:ctrlPr>
          </m:dPr>
          <m:e>
            <m:sSup>
              <m:sSupPr>
                <m:ctrlPr>
                  <w:rPr>
                    <w:rFonts w:ascii="Cambria Math" w:hAnsi="Cambria Math"/>
                    <w:noProof/>
                    <w:lang w:val="en-US"/>
                  </w:rPr>
                </m:ctrlPr>
              </m:sSupPr>
              <m:e>
                <m:sSub>
                  <m:sSubPr>
                    <m:ctrlPr>
                      <w:rPr>
                        <w:rFonts w:ascii="Cambria Math" w:hAnsi="Cambria Math"/>
                        <w:noProof/>
                        <w:lang w:val="en-US"/>
                      </w:rPr>
                    </m:ctrlPr>
                  </m:sSubPr>
                  <m:e>
                    <m:r>
                      <m:rPr>
                        <m:sty m:val="p"/>
                      </m:rPr>
                      <w:rPr>
                        <w:rFonts w:ascii="Cambria Math" w:hAnsi="Cambria Math"/>
                        <w:noProof/>
                        <w:lang w:val="en-US"/>
                      </w:rPr>
                      <m:t>SO</m:t>
                    </m:r>
                  </m:e>
                  <m:sub>
                    <m:r>
                      <m:rPr>
                        <m:sty m:val="p"/>
                      </m:rPr>
                      <w:rPr>
                        <w:rFonts w:ascii="Cambria Math" w:hAnsi="Cambria Math"/>
                        <w:noProof/>
                        <w:lang w:val="en-US"/>
                      </w:rPr>
                      <m:t>3</m:t>
                    </m:r>
                  </m:sub>
                </m:sSub>
              </m:e>
              <m:sup>
                <m:r>
                  <m:rPr>
                    <m:sty m:val="p"/>
                  </m:rPr>
                  <w:rPr>
                    <w:rFonts w:ascii="Cambria Math" w:hAnsi="Cambria Math"/>
                    <w:noProof/>
                    <w:lang w:val="en-US"/>
                  </w:rPr>
                  <m:t>2-</m:t>
                </m:r>
              </m:sup>
            </m:sSup>
            <m:ctrlPr>
              <w:rPr>
                <w:rFonts w:ascii="Cambria Math" w:hAnsi="Cambria Math"/>
                <w:noProof/>
                <w:lang w:val="en-US"/>
              </w:rPr>
            </m:ctrlPr>
          </m:e>
        </m:d>
        <m:r>
          <m:rPr>
            <m:sty m:val="p"/>
          </m:rPr>
          <w:rPr>
            <w:rFonts w:ascii="Cambria Math" w:hAnsi="Cambria Math"/>
            <w:noProof/>
            <w:lang w:val="en-US"/>
          </w:rPr>
          <m:t xml:space="preserve">= </m:t>
        </m:r>
        <m:f>
          <m:fPr>
            <m:ctrlPr>
              <w:rPr>
                <w:rFonts w:ascii="Cambria Math" w:hAnsi="Cambria Math"/>
                <w:i/>
                <w:noProof/>
                <w:lang w:val="en-US"/>
              </w:rPr>
            </m:ctrlPr>
          </m:fPr>
          <m:num>
            <m:r>
              <w:rPr>
                <w:rFonts w:ascii="Cambria Math" w:hAnsi="Cambria Math"/>
                <w:noProof/>
                <w:lang w:val="en-US"/>
              </w:rPr>
              <m:t>n</m:t>
            </m:r>
          </m:num>
          <m:den>
            <m:r>
              <w:rPr>
                <w:rFonts w:ascii="Cambria Math" w:hAnsi="Cambria Math"/>
                <w:noProof/>
                <w:lang w:val="en-US"/>
              </w:rPr>
              <m:t>V</m:t>
            </m:r>
          </m:den>
        </m:f>
        <m:r>
          <w:rPr>
            <w:rFonts w:ascii="Cambria Math" w:hAnsi="Cambria Math"/>
            <w:noProof/>
            <w:lang w:val="en-US"/>
          </w:rPr>
          <m:t>=</m:t>
        </m:r>
        <m:f>
          <m:fPr>
            <m:ctrlPr>
              <w:rPr>
                <w:rFonts w:ascii="Cambria Math" w:hAnsi="Cambria Math"/>
                <w:i/>
                <w:noProof/>
                <w:lang w:val="en-US"/>
              </w:rPr>
            </m:ctrlPr>
          </m:fPr>
          <m:num>
            <m:r>
              <m:rPr>
                <m:sty m:val="p"/>
              </m:rPr>
              <w:rPr>
                <w:rFonts w:ascii="Cambria Math" w:hAnsi="Cambria Math"/>
                <w:noProof/>
              </w:rPr>
              <m:t>2,625∙</m:t>
            </m:r>
            <m:sSup>
              <m:sSupPr>
                <m:ctrlPr>
                  <w:rPr>
                    <w:rFonts w:ascii="Cambria Math" w:hAnsi="Cambria Math"/>
                    <w:noProof/>
                  </w:rPr>
                </m:ctrlPr>
              </m:sSupPr>
              <m:e>
                <m:r>
                  <m:rPr>
                    <m:sty m:val="p"/>
                  </m:rPr>
                  <w:rPr>
                    <w:rFonts w:ascii="Cambria Math" w:hAnsi="Cambria Math"/>
                    <w:noProof/>
                  </w:rPr>
                  <m:t>10</m:t>
                </m:r>
              </m:e>
              <m:sup>
                <m:r>
                  <m:rPr>
                    <m:sty m:val="p"/>
                  </m:rPr>
                  <w:rPr>
                    <w:rFonts w:ascii="Cambria Math" w:hAnsi="Cambria Math"/>
                    <w:noProof/>
                  </w:rPr>
                  <m:t>-4</m:t>
                </m:r>
              </m:sup>
            </m:sSup>
            <m:r>
              <m:rPr>
                <m:sty m:val="p"/>
              </m:rPr>
              <w:rPr>
                <w:rFonts w:ascii="Cambria Math" w:hAnsi="Cambria Math"/>
                <w:noProof/>
              </w:rPr>
              <m:t xml:space="preserve">mol </m:t>
            </m:r>
          </m:num>
          <m:den>
            <m:r>
              <w:rPr>
                <w:rFonts w:ascii="Cambria Math" w:hAnsi="Cambria Math"/>
                <w:noProof/>
                <w:lang w:val="en-US"/>
              </w:rPr>
              <m:t xml:space="preserve">0,05 </m:t>
            </m:r>
            <m:r>
              <m:rPr>
                <m:sty m:val="p"/>
              </m:rPr>
              <w:rPr>
                <w:rFonts w:ascii="Cambria Math" w:hAnsi="Cambria Math"/>
                <w:noProof/>
                <w:lang w:val="en-US"/>
              </w:rPr>
              <m:t>L</m:t>
            </m:r>
          </m:den>
        </m:f>
        <m:r>
          <w:rPr>
            <w:rFonts w:ascii="Cambria Math" w:hAnsi="Cambria Math"/>
            <w:noProof/>
            <w:lang w:val="en-US"/>
          </w:rPr>
          <m:t>=5,25 ∙</m:t>
        </m:r>
        <m:sSup>
          <m:sSupPr>
            <m:ctrlPr>
              <w:rPr>
                <w:rFonts w:ascii="Cambria Math" w:hAnsi="Cambria Math"/>
                <w:i/>
                <w:noProof/>
                <w:lang w:val="en-US"/>
              </w:rPr>
            </m:ctrlPr>
          </m:sSupPr>
          <m:e>
            <m:r>
              <w:rPr>
                <w:rFonts w:ascii="Cambria Math" w:hAnsi="Cambria Math"/>
                <w:noProof/>
                <w:lang w:val="en-US"/>
              </w:rPr>
              <m:t>10</m:t>
            </m:r>
          </m:e>
          <m:sup>
            <m:r>
              <w:rPr>
                <w:rFonts w:ascii="Cambria Math" w:hAnsi="Cambria Math"/>
                <w:noProof/>
                <w:lang w:val="en-US"/>
              </w:rPr>
              <m:t>-3</m:t>
            </m:r>
          </m:sup>
        </m:sSup>
        <m:f>
          <m:fPr>
            <m:ctrlPr>
              <w:rPr>
                <w:rFonts w:ascii="Cambria Math" w:hAnsi="Cambria Math"/>
                <w:noProof/>
                <w:lang w:val="en-US"/>
              </w:rPr>
            </m:ctrlPr>
          </m:fPr>
          <m:num>
            <m:r>
              <m:rPr>
                <m:sty m:val="p"/>
              </m:rPr>
              <w:rPr>
                <w:rFonts w:ascii="Cambria Math" w:hAnsi="Cambria Math"/>
                <w:noProof/>
                <w:lang w:val="en-US"/>
              </w:rPr>
              <m:t>mol</m:t>
            </m:r>
          </m:num>
          <m:den>
            <m:r>
              <m:rPr>
                <m:sty m:val="p"/>
              </m:rPr>
              <w:rPr>
                <w:rFonts w:ascii="Cambria Math" w:hAnsi="Cambria Math"/>
                <w:noProof/>
                <w:lang w:val="en-US"/>
              </w:rPr>
              <m:t>L</m:t>
            </m:r>
          </m:den>
        </m:f>
        <m:r>
          <m:rPr>
            <m:sty m:val="p"/>
          </m:rPr>
          <w:rPr>
            <w:rFonts w:ascii="Cambria Math" w:hAnsi="Cambria Math"/>
            <w:noProof/>
            <w:lang w:val="en-US"/>
          </w:rPr>
          <m:t xml:space="preserve">=5,25 </m:t>
        </m:r>
        <m:f>
          <m:fPr>
            <m:ctrlPr>
              <w:rPr>
                <w:rFonts w:ascii="Cambria Math" w:hAnsi="Cambria Math"/>
                <w:noProof/>
                <w:lang w:val="en-US"/>
              </w:rPr>
            </m:ctrlPr>
          </m:fPr>
          <m:num>
            <m:r>
              <m:rPr>
                <m:sty m:val="p"/>
              </m:rPr>
              <w:rPr>
                <w:rFonts w:ascii="Cambria Math" w:hAnsi="Cambria Math"/>
                <w:noProof/>
                <w:lang w:val="en-US"/>
              </w:rPr>
              <m:t>mmol</m:t>
            </m:r>
          </m:num>
          <m:den>
            <m:r>
              <m:rPr>
                <m:sty m:val="p"/>
              </m:rPr>
              <w:rPr>
                <w:rFonts w:ascii="Cambria Math" w:hAnsi="Cambria Math"/>
                <w:noProof/>
                <w:lang w:val="en-US"/>
              </w:rPr>
              <m:t>L</m:t>
            </m:r>
          </m:den>
        </m:f>
      </m:oMath>
    </w:p>
    <w:p w:rsidR="00D42100" w:rsidRPr="000F06DC" w:rsidRDefault="00D42100" w:rsidP="00D42100">
      <w:pPr>
        <w:spacing w:line="276" w:lineRule="auto"/>
        <w:rPr>
          <w:rFonts w:eastAsiaTheme="minorEastAsia"/>
          <w:noProof/>
          <w:lang w:val="en-US"/>
        </w:rPr>
      </w:pPr>
      <m:oMathPara>
        <m:oMath>
          <m:r>
            <w:rPr>
              <w:rFonts w:ascii="Cambria Math" w:eastAsiaTheme="minorEastAsia" w:hAnsi="Cambria Math"/>
              <w:noProof/>
            </w:rPr>
            <m:t>m</m:t>
          </m:r>
          <m:d>
            <m:dPr>
              <m:ctrlPr>
                <w:rPr>
                  <w:rFonts w:ascii="Cambria Math" w:eastAsiaTheme="minorEastAsia" w:hAnsi="Cambria Math"/>
                  <w:i/>
                  <w:noProof/>
                </w:rPr>
              </m:ctrlPr>
            </m:dPr>
            <m:e>
              <m:sSup>
                <m:sSupPr>
                  <m:ctrlPr>
                    <w:rPr>
                      <w:rFonts w:ascii="Cambria Math" w:hAnsi="Cambria Math"/>
                      <w:noProof/>
                      <w:lang w:val="en-US"/>
                    </w:rPr>
                  </m:ctrlPr>
                </m:sSupPr>
                <m:e>
                  <m:sSub>
                    <m:sSubPr>
                      <m:ctrlPr>
                        <w:rPr>
                          <w:rFonts w:ascii="Cambria Math" w:hAnsi="Cambria Math"/>
                          <w:noProof/>
                          <w:lang w:val="en-US"/>
                        </w:rPr>
                      </m:ctrlPr>
                    </m:sSubPr>
                    <m:e>
                      <m:r>
                        <m:rPr>
                          <m:sty m:val="p"/>
                        </m:rPr>
                        <w:rPr>
                          <w:rFonts w:ascii="Cambria Math" w:hAnsi="Cambria Math"/>
                          <w:noProof/>
                          <w:lang w:val="en-US"/>
                        </w:rPr>
                        <m:t>SO</m:t>
                      </m:r>
                    </m:e>
                    <m:sub>
                      <m:r>
                        <m:rPr>
                          <m:sty m:val="p"/>
                        </m:rPr>
                        <w:rPr>
                          <w:rFonts w:ascii="Cambria Math" w:hAnsi="Cambria Math"/>
                          <w:noProof/>
                          <w:lang w:val="en-US"/>
                        </w:rPr>
                        <m:t>3</m:t>
                      </m:r>
                    </m:sub>
                  </m:sSub>
                </m:e>
                <m:sup>
                  <m:r>
                    <m:rPr>
                      <m:sty m:val="p"/>
                    </m:rPr>
                    <w:rPr>
                      <w:rFonts w:ascii="Cambria Math" w:hAnsi="Cambria Math"/>
                      <w:noProof/>
                      <w:lang w:val="en-US"/>
                    </w:rPr>
                    <m:t>2-</m:t>
                  </m:r>
                </m:sup>
              </m:sSup>
              <m:ctrlPr>
                <w:rPr>
                  <w:rFonts w:ascii="Cambria Math" w:hAnsi="Cambria Math"/>
                  <w:noProof/>
                  <w:lang w:val="en-US"/>
                </w:rPr>
              </m:ctrlPr>
            </m:e>
          </m:d>
          <m:r>
            <m:rPr>
              <m:sty m:val="p"/>
            </m:rPr>
            <w:rPr>
              <w:rFonts w:ascii="Cambria Math" w:hAnsi="Cambria Math"/>
              <w:noProof/>
              <w:lang w:val="en-US"/>
            </w:rPr>
            <m:t>=</m:t>
          </m:r>
          <m:r>
            <w:rPr>
              <w:rFonts w:ascii="Cambria Math" w:hAnsi="Cambria Math"/>
              <w:noProof/>
              <w:lang w:val="en-US"/>
            </w:rPr>
            <m:t xml:space="preserve">0,431 </m:t>
          </m:r>
          <m:r>
            <m:rPr>
              <m:sty m:val="p"/>
            </m:rPr>
            <w:rPr>
              <w:rFonts w:ascii="Cambria Math" w:hAnsi="Cambria Math"/>
              <w:noProof/>
              <w:lang w:val="en-US"/>
            </w:rPr>
            <m:t>g</m:t>
          </m:r>
          <m:r>
            <w:rPr>
              <w:rFonts w:ascii="Cambria Math" w:eastAsiaTheme="minorEastAsia" w:hAnsi="Cambria Math"/>
              <w:noProof/>
              <w:lang w:val="en-US"/>
            </w:rPr>
            <m:t xml:space="preserve">=431 </m:t>
          </m:r>
          <m:r>
            <m:rPr>
              <m:sty m:val="p"/>
            </m:rPr>
            <w:rPr>
              <w:rFonts w:ascii="Cambria Math" w:eastAsiaTheme="minorEastAsia" w:hAnsi="Cambria Math"/>
              <w:noProof/>
              <w:lang w:val="en-US"/>
            </w:rPr>
            <m:t>mg</m:t>
          </m:r>
        </m:oMath>
      </m:oMathPara>
    </w:p>
    <w:p w:rsidR="00D42100" w:rsidRPr="002A1520" w:rsidRDefault="00D42100" w:rsidP="00D42100">
      <w:pPr>
        <w:spacing w:line="276" w:lineRule="auto"/>
        <w:rPr>
          <w:rFonts w:eastAsiaTheme="minorEastAsia"/>
          <w:noProof/>
        </w:rPr>
      </w:pPr>
      <w:r>
        <w:rPr>
          <w:rFonts w:eastAsiaTheme="minorEastAsia"/>
          <w:noProof/>
        </w:rPr>
        <w:tab/>
      </w:r>
      <w:r>
        <w:rPr>
          <w:rFonts w:eastAsiaTheme="minorEastAsia"/>
          <w:noProof/>
        </w:rPr>
        <w:tab/>
      </w:r>
      <w:r>
        <w:rPr>
          <w:rFonts w:eastAsiaTheme="minorEastAsia"/>
          <w:noProof/>
        </w:rPr>
        <w:tab/>
        <w:t xml:space="preserve">Der Höchstgehalt, der an Sulfiten im Weißwein enthalten sein darf liegt </w:t>
      </w:r>
      <w:r>
        <w:rPr>
          <w:rFonts w:eastAsiaTheme="minorEastAsia"/>
          <w:noProof/>
        </w:rPr>
        <w:tab/>
      </w:r>
      <w:r>
        <w:rPr>
          <w:rFonts w:eastAsiaTheme="minorEastAsia"/>
          <w:noProof/>
        </w:rPr>
        <w:tab/>
      </w:r>
      <w:r>
        <w:rPr>
          <w:rFonts w:eastAsiaTheme="minorEastAsia"/>
          <w:noProof/>
        </w:rPr>
        <w:tab/>
        <w:t>bei 200 mg/L</w:t>
      </w:r>
      <w:r>
        <w:rPr>
          <w:rFonts w:eastAsiaTheme="minorEastAsia"/>
          <w:noProof/>
          <w:vertAlign w:val="superscript"/>
        </w:rPr>
        <w:t>[1</w:t>
      </w:r>
      <w:r w:rsidRPr="003475A1">
        <w:rPr>
          <w:vertAlign w:val="superscript"/>
        </w:rPr>
        <w:t>]</w:t>
      </w:r>
      <w:r>
        <w:rPr>
          <w:rFonts w:eastAsiaTheme="minorEastAsia"/>
          <w:noProof/>
        </w:rPr>
        <w:t xml:space="preserve">. Wird dieser Wert mit dem errechneten, ist auffällig, das </w:t>
      </w:r>
      <w:r>
        <w:rPr>
          <w:rFonts w:eastAsiaTheme="minorEastAsia"/>
          <w:noProof/>
        </w:rPr>
        <w:tab/>
      </w:r>
      <w:r>
        <w:rPr>
          <w:rFonts w:eastAsiaTheme="minorEastAsia"/>
          <w:noProof/>
        </w:rPr>
        <w:tab/>
      </w:r>
      <w:r>
        <w:rPr>
          <w:rFonts w:eastAsiaTheme="minorEastAsia"/>
          <w:noProof/>
        </w:rPr>
        <w:tab/>
        <w:t xml:space="preserve">der bestimmte Wert deutlich über dem erlaubten Wert liegt. Dies kommt </w:t>
      </w:r>
      <w:r>
        <w:rPr>
          <w:rFonts w:eastAsiaTheme="minorEastAsia"/>
          <w:noProof/>
        </w:rPr>
        <w:tab/>
      </w:r>
      <w:r>
        <w:rPr>
          <w:rFonts w:eastAsiaTheme="minorEastAsia"/>
          <w:noProof/>
        </w:rPr>
        <w:tab/>
      </w:r>
      <w:r>
        <w:rPr>
          <w:rFonts w:eastAsiaTheme="minorEastAsia"/>
          <w:noProof/>
        </w:rPr>
        <w:tab/>
        <w:t xml:space="preserve">zustande, da die Konzentration aller Substanzen, die Iod reduzieren </w:t>
      </w:r>
      <w:r>
        <w:rPr>
          <w:rFonts w:eastAsiaTheme="minorEastAsia"/>
          <w:noProof/>
        </w:rPr>
        <w:tab/>
      </w:r>
      <w:r>
        <w:rPr>
          <w:rFonts w:eastAsiaTheme="minorEastAsia"/>
          <w:noProof/>
        </w:rPr>
        <w:tab/>
      </w:r>
      <w:r>
        <w:rPr>
          <w:rFonts w:eastAsiaTheme="minorEastAsia"/>
          <w:noProof/>
        </w:rPr>
        <w:tab/>
        <w:t>bestimmt werden.</w:t>
      </w:r>
      <w:r>
        <w:rPr>
          <w:rFonts w:eastAsiaTheme="minorEastAsia"/>
          <w:noProof/>
          <w:vertAlign w:val="superscript"/>
        </w:rPr>
        <w:t>[2]</w:t>
      </w:r>
      <w:r>
        <w:rPr>
          <w:rFonts w:eastAsiaTheme="minorEastAsia"/>
          <w:noProof/>
        </w:rPr>
        <w:t xml:space="preserve"> Iod oxidert die weiteren Bestandteile des Weins, wie </w:t>
      </w:r>
      <w:r>
        <w:rPr>
          <w:rFonts w:eastAsiaTheme="minorEastAsia"/>
          <w:noProof/>
        </w:rPr>
        <w:tab/>
      </w:r>
      <w:r>
        <w:rPr>
          <w:rFonts w:eastAsiaTheme="minorEastAsia"/>
          <w:noProof/>
        </w:rPr>
        <w:tab/>
      </w:r>
      <w:r>
        <w:rPr>
          <w:rFonts w:eastAsiaTheme="minorEastAsia"/>
          <w:noProof/>
        </w:rPr>
        <w:tab/>
        <w:t xml:space="preserve">Zucker und Ethanol, so dass der erhaltene Wert über dem Grenzwert </w:t>
      </w:r>
      <w:r>
        <w:rPr>
          <w:rFonts w:eastAsiaTheme="minorEastAsia"/>
          <w:noProof/>
        </w:rPr>
        <w:tab/>
      </w:r>
      <w:r>
        <w:rPr>
          <w:rFonts w:eastAsiaTheme="minorEastAsia"/>
          <w:noProof/>
        </w:rPr>
        <w:tab/>
      </w:r>
      <w:r>
        <w:rPr>
          <w:rFonts w:eastAsiaTheme="minorEastAsia"/>
          <w:noProof/>
        </w:rPr>
        <w:tab/>
        <w:t>liegt.</w:t>
      </w:r>
    </w:p>
    <w:p w:rsidR="00D42100" w:rsidRPr="0056694B" w:rsidRDefault="00D42100" w:rsidP="00D42100">
      <w:pPr>
        <w:spacing w:line="276" w:lineRule="auto"/>
        <w:rPr>
          <w:rFonts w:eastAsiaTheme="minorEastAsia"/>
          <w:noProof/>
        </w:rPr>
      </w:pPr>
      <w:r>
        <w:t>Entsorgung:</w:t>
      </w:r>
      <w:r>
        <w:tab/>
        <w:t xml:space="preserve">           </w:t>
      </w:r>
      <w:r>
        <w:tab/>
        <w:t xml:space="preserve">Nach der Neutralisation mit </w:t>
      </w:r>
      <w:proofErr w:type="spellStart"/>
      <w:r>
        <w:t>Thiosulfat</w:t>
      </w:r>
      <w:proofErr w:type="spellEnd"/>
      <w:r>
        <w:t xml:space="preserve">-Lösung, um sicherzustellen, dass </w:t>
      </w:r>
      <w:r>
        <w:tab/>
      </w:r>
      <w:r>
        <w:tab/>
      </w:r>
      <w:r>
        <w:tab/>
        <w:t xml:space="preserve">das ganze Iod zu den Halogeniden reduziert wurde, wird das Gemisch </w:t>
      </w:r>
      <w:r>
        <w:tab/>
      </w:r>
      <w:r>
        <w:tab/>
      </w:r>
      <w:r>
        <w:tab/>
        <w:t xml:space="preserve">nach der Neutralisation mit Natriumhydrogencarbonat ins Abwasser </w:t>
      </w:r>
      <w:proofErr w:type="spellStart"/>
      <w:r>
        <w:t>ge</w:t>
      </w:r>
      <w:proofErr w:type="spellEnd"/>
      <w:r>
        <w:tab/>
      </w:r>
      <w:r>
        <w:tab/>
      </w:r>
      <w:r>
        <w:tab/>
        <w:t xml:space="preserve">geben. </w:t>
      </w:r>
    </w:p>
    <w:p w:rsidR="00D42100" w:rsidRDefault="00D42100" w:rsidP="00D42100">
      <w:pPr>
        <w:spacing w:line="276" w:lineRule="auto"/>
        <w:rPr>
          <w:color w:val="auto"/>
        </w:rPr>
      </w:pPr>
      <w:r>
        <w:t>Literatur:</w:t>
      </w:r>
      <w:r>
        <w:tab/>
      </w:r>
      <w:r>
        <w:tab/>
      </w:r>
      <w:r>
        <w:rPr>
          <w:color w:val="auto"/>
        </w:rPr>
        <w:t xml:space="preserve">[1] </w:t>
      </w:r>
      <w:proofErr w:type="spellStart"/>
      <w:r>
        <w:rPr>
          <w:color w:val="auto"/>
        </w:rPr>
        <w:t>Rindchen´s</w:t>
      </w:r>
      <w:proofErr w:type="spellEnd"/>
      <w:r>
        <w:rPr>
          <w:color w:val="auto"/>
        </w:rPr>
        <w:t xml:space="preserve"> Weinkontor GmbH &amp; Co. KG, </w:t>
      </w:r>
      <w:r>
        <w:rPr>
          <w:color w:val="auto"/>
        </w:rPr>
        <w:tab/>
      </w:r>
      <w:r>
        <w:rPr>
          <w:color w:val="auto"/>
        </w:rPr>
        <w:tab/>
      </w:r>
      <w:r>
        <w:rPr>
          <w:color w:val="auto"/>
        </w:rPr>
        <w:tab/>
      </w:r>
      <w:r>
        <w:rPr>
          <w:color w:val="auto"/>
        </w:rPr>
        <w:tab/>
      </w:r>
      <w:r>
        <w:rPr>
          <w:color w:val="auto"/>
        </w:rPr>
        <w:tab/>
      </w:r>
      <w:r>
        <w:rPr>
          <w:color w:val="auto"/>
        </w:rPr>
        <w:tab/>
      </w:r>
      <w:r>
        <w:rPr>
          <w:color w:val="auto"/>
        </w:rPr>
        <w:tab/>
      </w:r>
      <w:r w:rsidRPr="00891826">
        <w:rPr>
          <w:color w:val="auto"/>
        </w:rPr>
        <w:t>https://www.rindchen.de/sulfite-im-wein.html</w:t>
      </w:r>
      <w:r>
        <w:rPr>
          <w:color w:val="auto"/>
        </w:rPr>
        <w:t xml:space="preserve">, 31.07.16 (Zuletzt </w:t>
      </w:r>
      <w:proofErr w:type="spellStart"/>
      <w:r>
        <w:rPr>
          <w:color w:val="auto"/>
        </w:rPr>
        <w:t>abgeru</w:t>
      </w:r>
      <w:proofErr w:type="spellEnd"/>
      <w:r>
        <w:rPr>
          <w:color w:val="auto"/>
        </w:rPr>
        <w:t>-</w:t>
      </w:r>
      <w:r>
        <w:rPr>
          <w:color w:val="auto"/>
        </w:rPr>
        <w:tab/>
      </w:r>
      <w:r>
        <w:rPr>
          <w:color w:val="auto"/>
        </w:rPr>
        <w:tab/>
      </w:r>
      <w:r>
        <w:rPr>
          <w:color w:val="auto"/>
        </w:rPr>
        <w:tab/>
      </w:r>
      <w:proofErr w:type="spellStart"/>
      <w:r>
        <w:rPr>
          <w:color w:val="auto"/>
        </w:rPr>
        <w:t>fen</w:t>
      </w:r>
      <w:proofErr w:type="spellEnd"/>
      <w:r>
        <w:rPr>
          <w:color w:val="auto"/>
        </w:rPr>
        <w:t xml:space="preserve"> am 31.07.16 um 9:46 Uhr).</w:t>
      </w:r>
    </w:p>
    <w:p w:rsidR="00D42100" w:rsidRPr="005B60E3" w:rsidRDefault="00D42100" w:rsidP="00D42100">
      <w:pPr>
        <w:spacing w:line="276" w:lineRule="auto"/>
        <w:rPr>
          <w:rFonts w:asciiTheme="majorHAnsi" w:eastAsiaTheme="majorEastAsia" w:hAnsiTheme="majorHAnsi" w:cstheme="majorBidi"/>
          <w:b/>
          <w:bCs/>
          <w:sz w:val="28"/>
          <w:szCs w:val="28"/>
        </w:rPr>
      </w:pPr>
      <w:r>
        <w:rPr>
          <w:color w:val="auto"/>
        </w:rPr>
        <w:tab/>
      </w:r>
      <w:r>
        <w:rPr>
          <w:color w:val="auto"/>
        </w:rPr>
        <w:tab/>
      </w:r>
      <w:r>
        <w:rPr>
          <w:color w:val="auto"/>
        </w:rPr>
        <w:tab/>
        <w:t xml:space="preserve">[2] </w:t>
      </w:r>
      <w:r w:rsidRPr="00891826">
        <w:rPr>
          <w:color w:val="auto"/>
        </w:rPr>
        <w:t>http://chemiefachberater.manos-</w:t>
      </w:r>
      <w:r w:rsidRPr="00891826">
        <w:rPr>
          <w:color w:val="auto"/>
        </w:rPr>
        <w:tab/>
      </w:r>
      <w:r w:rsidRPr="00891826">
        <w:rPr>
          <w:color w:val="auto"/>
        </w:rPr>
        <w:tab/>
      </w:r>
      <w:r w:rsidRPr="00891826">
        <w:rPr>
          <w:color w:val="auto"/>
        </w:rPr>
        <w:tab/>
      </w:r>
      <w:r w:rsidRPr="00891826">
        <w:rPr>
          <w:color w:val="auto"/>
        </w:rPr>
        <w:tab/>
      </w:r>
      <w:r w:rsidRPr="00891826">
        <w:rPr>
          <w:color w:val="auto"/>
        </w:rPr>
        <w:tab/>
      </w:r>
      <w:r w:rsidRPr="00891826">
        <w:rPr>
          <w:color w:val="auto"/>
        </w:rPr>
        <w:tab/>
      </w:r>
      <w:r w:rsidRPr="00891826">
        <w:rPr>
          <w:color w:val="auto"/>
        </w:rPr>
        <w:tab/>
      </w:r>
      <w:r w:rsidRPr="00891826">
        <w:rPr>
          <w:color w:val="auto"/>
        </w:rPr>
        <w:tab/>
        <w:t>dresden.de/</w:t>
      </w:r>
      <w:proofErr w:type="spellStart"/>
      <w:r w:rsidRPr="00891826">
        <w:rPr>
          <w:color w:val="auto"/>
        </w:rPr>
        <w:t>downloads</w:t>
      </w:r>
      <w:proofErr w:type="spellEnd"/>
      <w:r w:rsidRPr="00891826">
        <w:rPr>
          <w:color w:val="auto"/>
        </w:rPr>
        <w:t>/sulfitgehaltimwein.pdf</w:t>
      </w:r>
      <w:r>
        <w:rPr>
          <w:color w:val="auto"/>
        </w:rPr>
        <w:t xml:space="preserve">, 31.07.16 (Zuletzt </w:t>
      </w:r>
      <w:proofErr w:type="spellStart"/>
      <w:r>
        <w:rPr>
          <w:color w:val="auto"/>
        </w:rPr>
        <w:t>abgeru</w:t>
      </w:r>
      <w:proofErr w:type="spellEnd"/>
      <w:r>
        <w:rPr>
          <w:color w:val="auto"/>
        </w:rPr>
        <w:t>-</w:t>
      </w:r>
      <w:r>
        <w:rPr>
          <w:color w:val="auto"/>
        </w:rPr>
        <w:tab/>
      </w:r>
      <w:r>
        <w:rPr>
          <w:color w:val="auto"/>
        </w:rPr>
        <w:tab/>
      </w:r>
      <w:r>
        <w:rPr>
          <w:color w:val="auto"/>
        </w:rPr>
        <w:tab/>
      </w:r>
      <w:proofErr w:type="spellStart"/>
      <w:r>
        <w:rPr>
          <w:color w:val="auto"/>
        </w:rPr>
        <w:t>fen</w:t>
      </w:r>
      <w:proofErr w:type="spellEnd"/>
      <w:r>
        <w:rPr>
          <w:color w:val="auto"/>
        </w:rPr>
        <w:t xml:space="preserve"> am 31.07. 9:48Uhr).</w:t>
      </w:r>
    </w:p>
    <w:p w:rsidR="00D42100" w:rsidRDefault="00D42100" w:rsidP="00D42100">
      <w:pPr>
        <w:tabs>
          <w:tab w:val="left" w:pos="1701"/>
          <w:tab w:val="left" w:pos="1985"/>
        </w:tabs>
        <w:ind w:left="1980" w:hanging="1980"/>
      </w:pPr>
    </w:p>
    <w:p w:rsidR="00D42100" w:rsidRDefault="00D42100" w:rsidP="00D42100">
      <w:pPr>
        <w:tabs>
          <w:tab w:val="left" w:pos="1701"/>
          <w:tab w:val="left" w:pos="1985"/>
        </w:tabs>
        <w:ind w:left="1980" w:hanging="1980"/>
      </w:pPr>
      <w:r>
        <w:pict>
          <v:shape id="_x0000_s1026" type="#_x0000_t202" style="width:462.45pt;height:271.65pt;mso-position-horizontal-relative:char;mso-position-vertical-relative:line;mso-width-relative:margin;mso-height-relative:margin" fillcolor="white [3201]" strokecolor="#c0504d [3205]" strokeweight="1pt">
            <v:stroke dashstyle="dash"/>
            <v:shadow color="#868686"/>
            <v:textbox style="mso-next-textbox:#_x0000_s1026">
              <w:txbxContent>
                <w:p w:rsidR="00D42100" w:rsidRPr="00F31EBF" w:rsidRDefault="00D42100" w:rsidP="00D42100">
                  <w:pPr>
                    <w:rPr>
                      <w:color w:val="auto"/>
                    </w:rPr>
                  </w:pPr>
                  <w:r w:rsidRPr="00F31EBF">
                    <w:rPr>
                      <w:b/>
                      <w:color w:val="auto"/>
                    </w:rPr>
                    <w:t xml:space="preserve">Unterrichtsanschlüsse </w:t>
                  </w:r>
                  <w:r>
                    <w:rPr>
                      <w:color w:val="auto"/>
                    </w:rPr>
                    <w:t xml:space="preserve">Dieser Versuch eignet sich für den Abschluss der Einheit Titrationen. Da in diesem Versuch das chemische Rechnen wiederholt und geübt wird. Des Weiteren wird den Schülerinnen und Schülern eine weitere Methode der Titration aufgezeigt. Diese Art der Titration ist eine </w:t>
                  </w:r>
                  <w:proofErr w:type="spellStart"/>
                  <w:r>
                    <w:rPr>
                      <w:color w:val="auto"/>
                    </w:rPr>
                    <w:t>Redoxtitration</w:t>
                  </w:r>
                  <w:proofErr w:type="spellEnd"/>
                  <w:r>
                    <w:rPr>
                      <w:color w:val="auto"/>
                    </w:rPr>
                    <w:t>, die als Analyseinstrument dient um einen bestimmten Gehalt einer Substanz in Lebensmitteln/ Genussmitteln zu ermitteln. Am Ende der Einheit sollte auch auf die Verwendung des Sulfits im Weißwein eingegangen werden, damit bei den Schülerinnen und Schülern nicht die Fehlvorstellung, dass Wein durch den Zusatz von Sulfit gesundheitsg</w:t>
                  </w:r>
                  <w:r>
                    <w:rPr>
                      <w:color w:val="auto"/>
                    </w:rPr>
                    <w:t>e</w:t>
                  </w:r>
                  <w:r>
                    <w:rPr>
                      <w:color w:val="auto"/>
                    </w:rPr>
                    <w:t>fährdend ist, sondern es muss die Intention der längeren Haltbarkeit in den Vordergrund g</w:t>
                  </w:r>
                  <w:r>
                    <w:rPr>
                      <w:color w:val="auto"/>
                    </w:rPr>
                    <w:t>e</w:t>
                  </w:r>
                  <w:r>
                    <w:rPr>
                      <w:color w:val="auto"/>
                    </w:rPr>
                    <w:t xml:space="preserve">rückt werden. Dieser Versuch ist als Lehrerversuch gedacht, da die Handhabung mit dem </w:t>
                  </w:r>
                  <w:proofErr w:type="spellStart"/>
                  <w:r>
                    <w:rPr>
                      <w:color w:val="auto"/>
                    </w:rPr>
                    <w:t>Iodwasser</w:t>
                  </w:r>
                  <w:proofErr w:type="spellEnd"/>
                  <w:r>
                    <w:rPr>
                      <w:color w:val="auto"/>
                    </w:rPr>
                    <w:t xml:space="preserve"> vorsichtig und bedacht sein muss, da sonst gesundheitliche Schäden bei Hautko</w:t>
                  </w:r>
                  <w:r>
                    <w:rPr>
                      <w:color w:val="auto"/>
                    </w:rPr>
                    <w:t>n</w:t>
                  </w:r>
                  <w:r>
                    <w:rPr>
                      <w:color w:val="auto"/>
                    </w:rPr>
                    <w:t xml:space="preserve">takt folgen können. Daher ist das Tragen von Handschuhen ratsam. Des Weiteren sollte immer ein großes Becherglas (500 </w:t>
                  </w:r>
                  <w:proofErr w:type="spellStart"/>
                  <w:r>
                    <w:rPr>
                      <w:color w:val="auto"/>
                    </w:rPr>
                    <w:t>mL</w:t>
                  </w:r>
                  <w:proofErr w:type="spellEnd"/>
                  <w:r>
                    <w:rPr>
                      <w:color w:val="auto"/>
                    </w:rPr>
                    <w:t xml:space="preserve">) mit </w:t>
                  </w:r>
                  <w:proofErr w:type="spellStart"/>
                  <w:r>
                    <w:rPr>
                      <w:color w:val="auto"/>
                    </w:rPr>
                    <w:t>Natriumthisulfat</w:t>
                  </w:r>
                  <w:proofErr w:type="spellEnd"/>
                  <w:r>
                    <w:rPr>
                      <w:color w:val="auto"/>
                    </w:rPr>
                    <w:t>-Lösung bereitstehen, damit im Falle e</w:t>
                  </w:r>
                  <w:r>
                    <w:rPr>
                      <w:color w:val="auto"/>
                    </w:rPr>
                    <w:t>i</w:t>
                  </w:r>
                  <w:r>
                    <w:rPr>
                      <w:color w:val="auto"/>
                    </w:rPr>
                    <w:t>nes Verschüttens ordnungsgemäß gehandelt werden kann und keine Gefahr für die Schüleri</w:t>
                  </w:r>
                  <w:r>
                    <w:rPr>
                      <w:color w:val="auto"/>
                    </w:rPr>
                    <w:t>n</w:t>
                  </w:r>
                  <w:r>
                    <w:rPr>
                      <w:color w:val="auto"/>
                    </w:rPr>
                    <w:t>nen und Schüler besteht.</w:t>
                  </w:r>
                </w:p>
              </w:txbxContent>
            </v:textbox>
            <w10:wrap type="none"/>
            <w10:anchorlock/>
          </v:shape>
        </w:pict>
      </w:r>
    </w:p>
    <w:p w:rsidR="00DF0669" w:rsidRDefault="00DF0669"/>
    <w:sectPr w:rsidR="00DF0669" w:rsidSect="00DF0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776B221A"/>
    <w:multiLevelType w:val="hybridMultilevel"/>
    <w:tmpl w:val="6090FC18"/>
    <w:lvl w:ilvl="0" w:tplc="B824C14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42100"/>
    <w:rsid w:val="009C4E1B"/>
    <w:rsid w:val="009D51FA"/>
    <w:rsid w:val="00D42100"/>
    <w:rsid w:val="00DF066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210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4210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4210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4210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4210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4210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4210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4210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4210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4210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210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4210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4210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4210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4210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4210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4210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4210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4210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42100"/>
    <w:pPr>
      <w:spacing w:line="240" w:lineRule="auto"/>
    </w:pPr>
    <w:rPr>
      <w:bCs/>
      <w:color w:val="auto"/>
      <w:sz w:val="18"/>
      <w:szCs w:val="18"/>
    </w:rPr>
  </w:style>
  <w:style w:type="paragraph" w:styleId="Listenabsatz">
    <w:name w:val="List Paragraph"/>
    <w:basedOn w:val="Standard"/>
    <w:uiPriority w:val="34"/>
    <w:qFormat/>
    <w:rsid w:val="00D42100"/>
    <w:pPr>
      <w:spacing w:line="276" w:lineRule="auto"/>
      <w:ind w:left="720"/>
      <w:contextualSpacing/>
    </w:pPr>
    <w:rPr>
      <w:rFonts w:asciiTheme="minorHAnsi" w:hAnsiTheme="minorHAnsi"/>
      <w:color w:val="000000"/>
    </w:rPr>
  </w:style>
  <w:style w:type="paragraph" w:styleId="Sprechblasentext">
    <w:name w:val="Balloon Text"/>
    <w:basedOn w:val="Standard"/>
    <w:link w:val="SprechblasentextZchn"/>
    <w:uiPriority w:val="99"/>
    <w:semiHidden/>
    <w:unhideWhenUsed/>
    <w:rsid w:val="00D421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2100"/>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3858</Characters>
  <Application>Microsoft Office Word</Application>
  <DocSecurity>0</DocSecurity>
  <Lines>32</Lines>
  <Paragraphs>8</Paragraphs>
  <ScaleCrop>false</ScaleCrop>
  <Company>HAASE</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Kristina</cp:lastModifiedBy>
  <cp:revision>1</cp:revision>
  <dcterms:created xsi:type="dcterms:W3CDTF">2016-08-10T10:57:00Z</dcterms:created>
  <dcterms:modified xsi:type="dcterms:W3CDTF">2016-08-10T10:58:00Z</dcterms:modified>
</cp:coreProperties>
</file>