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83F" w:rsidRPr="00CC307A" w:rsidRDefault="0078483F" w:rsidP="0078483F">
      <w:pPr>
        <w:pStyle w:val="berschrift2"/>
        <w:rPr>
          <w:color w:val="auto"/>
        </w:rPr>
      </w:pPr>
      <w:bookmarkStart w:id="0" w:name="_Toc457758475"/>
      <w:r w:rsidRPr="00CC307A">
        <w:rPr>
          <w:color w:val="auto"/>
        </w:rPr>
        <w:t xml:space="preserve">V1 – </w:t>
      </w:r>
      <w:r>
        <w:rPr>
          <w:color w:val="auto"/>
        </w:rPr>
        <w:t>Titration von Cola</w:t>
      </w:r>
      <w:bookmarkEnd w:id="0"/>
    </w:p>
    <w:p w:rsidR="0078483F" w:rsidRDefault="0078483F" w:rsidP="0078483F">
      <w:pPr>
        <w:pStyle w:val="berschrift2"/>
        <w:numPr>
          <w:ilvl w:val="0"/>
          <w:numId w:val="0"/>
        </w:numPr>
      </w:pPr>
      <w:r w:rsidRPr="00D837BB">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45pt;margin-top:3.25pt;width:462.45pt;height:256.75pt;z-index:251660288;mso-width-relative:margin;mso-height-relative:margin" fillcolor="white [3201]" strokecolor="#4bacc6 [3208]" strokeweight="1pt">
            <v:stroke dashstyle="dash"/>
            <v:shadow color="#868686"/>
            <v:textbox style="mso-next-textbox:#_x0000_s1027">
              <w:txbxContent>
                <w:p w:rsidR="0078483F" w:rsidRPr="00F31EBF" w:rsidRDefault="0078483F" w:rsidP="0078483F">
                  <w:pPr>
                    <w:rPr>
                      <w:color w:val="auto"/>
                    </w:rPr>
                  </w:pPr>
                  <w:r>
                    <w:rPr>
                      <w:color w:val="auto"/>
                    </w:rPr>
                    <w:t>In diesem Versuch wird die in Cola enthaltene Phosphorsäure mittels Säure-Base-Titration titriert und bestimmt. Ebenfalls wird mit den erhaltenen Werten gerechnet um das chemische Rechnen bei den Schülerinnen und Schüler zu trainieren und zu festigen. Als Vorwissen wird das Ablaufen einer Titration und der damit verbundenen Neutralisationsreaktion vorausg</w:t>
                  </w:r>
                  <w:r>
                    <w:rPr>
                      <w:color w:val="auto"/>
                    </w:rPr>
                    <w:t>e</w:t>
                  </w:r>
                  <w:r>
                    <w:rPr>
                      <w:color w:val="auto"/>
                    </w:rPr>
                    <w:t xml:space="preserve">setzt. Des Weiteren sollte der Begriff der mehrprotonigen Säuren bekannt sein und das diese nicht nur einen ÄP </w:t>
                  </w:r>
                  <w:proofErr w:type="gramStart"/>
                  <w:r>
                    <w:rPr>
                      <w:color w:val="auto"/>
                    </w:rPr>
                    <w:t>aufweisen</w:t>
                  </w:r>
                  <w:proofErr w:type="gramEnd"/>
                  <w:r>
                    <w:rPr>
                      <w:color w:val="auto"/>
                    </w:rPr>
                    <w:t>, sondern mehrere, da verschiedene Protolysegleichgewichte vo</w:t>
                  </w:r>
                  <w:r>
                    <w:rPr>
                      <w:color w:val="auto"/>
                    </w:rPr>
                    <w:t>r</w:t>
                  </w:r>
                  <w:r>
                    <w:rPr>
                      <w:color w:val="auto"/>
                    </w:rPr>
                    <w:t>liegen. Ebenso sollte die Handhabung eines pH-Meters, nicht trocken lagern, sondern immer mit Schutzkappe, sowie die damit verbundene Eichung des pH-Meters mit Eichlösung bekannt sein. Ist dies nicht der Fall, sollte vor diesem Versuch Zeit für die Themen aufgewandt werden und an Titrationen wie Salzsäure mit Natronlauge die Verwendung eines pH-Meters geübt werden. Zudem sollte die Methode der Extrapolation, auch Drei-Geraden-Methode genannt, beherrscht werden. Außerdem kann bei diesem Versuch das Verfahren der Fehlerbetrachtung eingeführt werden.</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78483F" w:rsidRPr="009C5E28" w:rsidTr="00B048C9">
        <w:tc>
          <w:tcPr>
            <w:tcW w:w="9322" w:type="dxa"/>
            <w:gridSpan w:val="9"/>
            <w:shd w:val="clear" w:color="auto" w:fill="4F81BD"/>
            <w:vAlign w:val="center"/>
          </w:tcPr>
          <w:p w:rsidR="0078483F" w:rsidRPr="00F31EBF" w:rsidRDefault="0078483F" w:rsidP="00B048C9">
            <w:pPr>
              <w:spacing w:after="0"/>
              <w:jc w:val="center"/>
              <w:rPr>
                <w:b/>
                <w:bCs/>
                <w:color w:val="FFFFFF" w:themeColor="background1"/>
              </w:rPr>
            </w:pPr>
            <w:r w:rsidRPr="00F31EBF">
              <w:rPr>
                <w:b/>
                <w:bCs/>
                <w:color w:val="FFFFFF" w:themeColor="background1"/>
              </w:rPr>
              <w:t>Gefahrenstoffe</w:t>
            </w:r>
          </w:p>
        </w:tc>
      </w:tr>
      <w:tr w:rsidR="0078483F" w:rsidRPr="009C5E28" w:rsidTr="00B048C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78483F" w:rsidRPr="009C5E28" w:rsidRDefault="0078483F" w:rsidP="00B048C9">
            <w:pPr>
              <w:spacing w:after="0" w:line="276" w:lineRule="auto"/>
              <w:jc w:val="center"/>
              <w:rPr>
                <w:b/>
                <w:bCs/>
              </w:rPr>
            </w:pPr>
            <w:r>
              <w:rPr>
                <w:sz w:val="20"/>
              </w:rPr>
              <w:t>Cola</w:t>
            </w:r>
          </w:p>
        </w:tc>
        <w:tc>
          <w:tcPr>
            <w:tcW w:w="3177" w:type="dxa"/>
            <w:gridSpan w:val="3"/>
            <w:tcBorders>
              <w:top w:val="single" w:sz="8" w:space="0" w:color="4F81BD"/>
              <w:bottom w:val="single" w:sz="8" w:space="0" w:color="4F81BD"/>
            </w:tcBorders>
            <w:shd w:val="clear" w:color="auto" w:fill="auto"/>
            <w:vAlign w:val="center"/>
          </w:tcPr>
          <w:p w:rsidR="0078483F" w:rsidRPr="009C5E28" w:rsidRDefault="0078483F" w:rsidP="00B048C9">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8483F" w:rsidRPr="009C5E28" w:rsidRDefault="0078483F" w:rsidP="00B048C9">
            <w:pPr>
              <w:spacing w:after="0"/>
              <w:jc w:val="center"/>
            </w:pPr>
            <w:r w:rsidRPr="009C5E28">
              <w:rPr>
                <w:sz w:val="20"/>
              </w:rPr>
              <w:t xml:space="preserve">P: </w:t>
            </w:r>
            <w:r>
              <w:t>-</w:t>
            </w:r>
          </w:p>
        </w:tc>
      </w:tr>
      <w:tr w:rsidR="0078483F" w:rsidRPr="009C5E28" w:rsidTr="00B048C9">
        <w:trPr>
          <w:trHeight w:val="434"/>
        </w:trPr>
        <w:tc>
          <w:tcPr>
            <w:tcW w:w="3027" w:type="dxa"/>
            <w:gridSpan w:val="3"/>
            <w:shd w:val="clear" w:color="auto" w:fill="auto"/>
            <w:vAlign w:val="center"/>
          </w:tcPr>
          <w:p w:rsidR="0078483F" w:rsidRPr="009C5E28" w:rsidRDefault="0078483F" w:rsidP="00B048C9">
            <w:pPr>
              <w:spacing w:after="0" w:line="276" w:lineRule="auto"/>
              <w:jc w:val="center"/>
              <w:rPr>
                <w:bCs/>
                <w:sz w:val="20"/>
              </w:rPr>
            </w:pPr>
            <w:r>
              <w:rPr>
                <w:color w:val="auto"/>
                <w:sz w:val="20"/>
                <w:szCs w:val="20"/>
              </w:rPr>
              <w:t>Natronlauge</w:t>
            </w:r>
          </w:p>
        </w:tc>
        <w:tc>
          <w:tcPr>
            <w:tcW w:w="3177" w:type="dxa"/>
            <w:gridSpan w:val="3"/>
            <w:shd w:val="clear" w:color="auto" w:fill="auto"/>
            <w:vAlign w:val="center"/>
          </w:tcPr>
          <w:p w:rsidR="0078483F" w:rsidRPr="009C5E28" w:rsidRDefault="0078483F" w:rsidP="00B048C9">
            <w:pPr>
              <w:pStyle w:val="Beschriftung"/>
              <w:spacing w:after="0"/>
              <w:jc w:val="center"/>
              <w:rPr>
                <w:sz w:val="20"/>
              </w:rPr>
            </w:pPr>
            <w:r w:rsidRPr="009C5E28">
              <w:rPr>
                <w:sz w:val="20"/>
              </w:rPr>
              <w:t xml:space="preserve">H: </w:t>
            </w:r>
            <w:r>
              <w:t>315, 319, 290</w:t>
            </w:r>
          </w:p>
        </w:tc>
        <w:tc>
          <w:tcPr>
            <w:tcW w:w="3118" w:type="dxa"/>
            <w:gridSpan w:val="3"/>
            <w:shd w:val="clear" w:color="auto" w:fill="auto"/>
            <w:vAlign w:val="center"/>
          </w:tcPr>
          <w:p w:rsidR="0078483F" w:rsidRPr="009C5E28" w:rsidRDefault="0078483F" w:rsidP="00B048C9">
            <w:pPr>
              <w:pStyle w:val="Beschriftung"/>
              <w:spacing w:after="0"/>
              <w:jc w:val="center"/>
              <w:rPr>
                <w:sz w:val="20"/>
              </w:rPr>
            </w:pPr>
            <w:r w:rsidRPr="009C5E28">
              <w:rPr>
                <w:sz w:val="20"/>
              </w:rPr>
              <w:t xml:space="preserve">P: </w:t>
            </w:r>
            <w:r>
              <w:t>280, 301+ 330+ 331, 305+ 351+ 338, 308+ 310</w:t>
            </w:r>
          </w:p>
        </w:tc>
      </w:tr>
      <w:tr w:rsidR="0078483F" w:rsidRPr="009C5E28" w:rsidTr="00B048C9">
        <w:tc>
          <w:tcPr>
            <w:tcW w:w="1009" w:type="dxa"/>
            <w:tcBorders>
              <w:top w:val="single" w:sz="8" w:space="0" w:color="4F81BD"/>
              <w:left w:val="single" w:sz="8" w:space="0" w:color="4F81BD"/>
              <w:bottom w:val="single" w:sz="8" w:space="0" w:color="4F81BD"/>
            </w:tcBorders>
            <w:shd w:val="clear" w:color="auto" w:fill="auto"/>
            <w:vAlign w:val="center"/>
          </w:tcPr>
          <w:p w:rsidR="0078483F" w:rsidRPr="009C5E28" w:rsidRDefault="0078483F" w:rsidP="00B048C9">
            <w:pPr>
              <w:spacing w:after="0"/>
              <w:jc w:val="center"/>
              <w:rPr>
                <w:b/>
                <w:bCs/>
              </w:rPr>
            </w:pPr>
            <w:r w:rsidRPr="003536C5">
              <w:rPr>
                <w:b/>
                <w:bCs/>
                <w:noProof/>
                <w:lang w:eastAsia="de-DE"/>
              </w:rPr>
              <w:drawing>
                <wp:inline distT="0" distB="0" distL="0" distR="0">
                  <wp:extent cx="503525" cy="504000"/>
                  <wp:effectExtent l="19050" t="0" r="0" b="0"/>
                  <wp:docPr id="47" name="Bild 16" descr="C:\Users\Kristina\Documents\SVP CHEMIE\Piktogramm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Kristina\Documents\SVP CHEMIE\Piktogramme\Piktogramme\Ätzend.png"/>
                          <pic:cNvPicPr>
                            <a:picLocks noChangeAspect="1" noChangeArrowheads="1"/>
                          </pic:cNvPicPr>
                        </pic:nvPicPr>
                        <pic:blipFill>
                          <a:blip r:embed="rId5" cstate="print"/>
                          <a:srcRect/>
                          <a:stretch>
                            <a:fillRect/>
                          </a:stretch>
                        </pic:blipFill>
                        <pic:spPr bwMode="auto">
                          <a:xfrm>
                            <a:off x="0" y="0"/>
                            <a:ext cx="503525"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8483F" w:rsidRPr="009C5E28" w:rsidRDefault="0078483F" w:rsidP="00B048C9">
            <w:pPr>
              <w:spacing w:after="0"/>
              <w:jc w:val="center"/>
            </w:pPr>
            <w:r>
              <w:rPr>
                <w:noProof/>
                <w:lang w:eastAsia="de-DE"/>
              </w:rPr>
              <w:drawing>
                <wp:inline distT="0" distB="0" distL="0" distR="0">
                  <wp:extent cx="504190" cy="504190"/>
                  <wp:effectExtent l="0" t="0" r="0" b="0"/>
                  <wp:docPr id="36"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8483F" w:rsidRPr="009C5E28" w:rsidRDefault="0078483F" w:rsidP="00B048C9">
            <w:pPr>
              <w:spacing w:after="0"/>
              <w:jc w:val="center"/>
            </w:pPr>
            <w:r>
              <w:rPr>
                <w:noProof/>
                <w:lang w:eastAsia="de-DE"/>
              </w:rPr>
              <w:drawing>
                <wp:inline distT="0" distB="0" distL="0" distR="0">
                  <wp:extent cx="504190" cy="504190"/>
                  <wp:effectExtent l="0" t="0" r="0" b="0"/>
                  <wp:docPr id="37"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8483F" w:rsidRPr="009C5E28" w:rsidRDefault="0078483F" w:rsidP="00B048C9">
            <w:pPr>
              <w:spacing w:after="0"/>
              <w:jc w:val="center"/>
            </w:pPr>
            <w:r>
              <w:rPr>
                <w:noProof/>
                <w:lang w:eastAsia="de-DE"/>
              </w:rPr>
              <w:drawing>
                <wp:inline distT="0" distB="0" distL="0" distR="0">
                  <wp:extent cx="504190" cy="504190"/>
                  <wp:effectExtent l="0" t="0" r="0" b="0"/>
                  <wp:docPr id="3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78483F" w:rsidRPr="009C5E28" w:rsidRDefault="0078483F" w:rsidP="00B048C9">
            <w:pPr>
              <w:spacing w:after="0"/>
              <w:jc w:val="center"/>
            </w:pPr>
            <w:r>
              <w:rPr>
                <w:noProof/>
                <w:lang w:eastAsia="de-DE"/>
              </w:rPr>
              <w:drawing>
                <wp:inline distT="0" distB="0" distL="0" distR="0">
                  <wp:extent cx="504190" cy="504190"/>
                  <wp:effectExtent l="0" t="0" r="0" b="0"/>
                  <wp:docPr id="40"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78483F" w:rsidRPr="009C5E28" w:rsidRDefault="0078483F" w:rsidP="00B048C9">
            <w:pPr>
              <w:spacing w:after="0"/>
              <w:jc w:val="center"/>
            </w:pPr>
            <w:r>
              <w:rPr>
                <w:noProof/>
                <w:lang w:eastAsia="de-DE"/>
              </w:rPr>
              <w:drawing>
                <wp:inline distT="0" distB="0" distL="0" distR="0">
                  <wp:extent cx="504190" cy="504190"/>
                  <wp:effectExtent l="0" t="0" r="0" b="0"/>
                  <wp:docPr id="4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78483F" w:rsidRPr="009C5E28" w:rsidRDefault="0078483F" w:rsidP="00B048C9">
            <w:pPr>
              <w:spacing w:after="0"/>
              <w:jc w:val="center"/>
            </w:pPr>
            <w:r>
              <w:rPr>
                <w:noProof/>
                <w:lang w:eastAsia="de-DE"/>
              </w:rPr>
              <w:drawing>
                <wp:inline distT="0" distB="0" distL="0" distR="0">
                  <wp:extent cx="504190" cy="504190"/>
                  <wp:effectExtent l="0" t="0" r="0" b="0"/>
                  <wp:docPr id="42"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8483F" w:rsidRPr="009C5E28" w:rsidRDefault="0078483F" w:rsidP="00B048C9">
            <w:pPr>
              <w:spacing w:after="0"/>
              <w:jc w:val="center"/>
            </w:pPr>
            <w:r>
              <w:rPr>
                <w:noProof/>
                <w:lang w:eastAsia="de-DE"/>
              </w:rPr>
              <w:drawing>
                <wp:inline distT="0" distB="0" distL="0" distR="0">
                  <wp:extent cx="503843" cy="504000"/>
                  <wp:effectExtent l="19050" t="0" r="0" b="0"/>
                  <wp:docPr id="48" name="Bild 27" descr="C:\Users\Kristina\Documents\SVP CHEMIE\Piktogramme\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Kristina\Documents\SVP CHEMIE\Piktogramme\Piktogramme\Grau\Reizend.png"/>
                          <pic:cNvPicPr>
                            <a:picLocks noChangeAspect="1" noChangeArrowheads="1"/>
                          </pic:cNvPicPr>
                        </pic:nvPicPr>
                        <pic:blipFill>
                          <a:blip r:embed="rId12" cstate="print"/>
                          <a:srcRect/>
                          <a:stretch>
                            <a:fillRect/>
                          </a:stretch>
                        </pic:blipFill>
                        <pic:spPr bwMode="auto">
                          <a:xfrm>
                            <a:off x="0" y="0"/>
                            <a:ext cx="503843" cy="50400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78483F" w:rsidRPr="009C5E28" w:rsidRDefault="0078483F" w:rsidP="00B048C9">
            <w:pPr>
              <w:spacing w:after="0"/>
              <w:jc w:val="center"/>
            </w:pPr>
            <w:r>
              <w:rPr>
                <w:noProof/>
                <w:lang w:eastAsia="de-DE"/>
              </w:rPr>
              <w:drawing>
                <wp:inline distT="0" distB="0" distL="0" distR="0">
                  <wp:extent cx="503466" cy="504000"/>
                  <wp:effectExtent l="19050" t="0" r="0" b="0"/>
                  <wp:docPr id="49" name="Bild 28" descr="C:\Users\Kristina\Documents\SVP CHEMIE\Piktogramme\Piktogramme\Grau\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Kristina\Documents\SVP CHEMIE\Piktogramme\Piktogramme\Grau\Umweltgefahr.png"/>
                          <pic:cNvPicPr>
                            <a:picLocks noChangeAspect="1" noChangeArrowheads="1"/>
                          </pic:cNvPicPr>
                        </pic:nvPicPr>
                        <pic:blipFill>
                          <a:blip r:embed="rId13" cstate="print"/>
                          <a:srcRect/>
                          <a:stretch>
                            <a:fillRect/>
                          </a:stretch>
                        </pic:blipFill>
                        <pic:spPr bwMode="auto">
                          <a:xfrm>
                            <a:off x="0" y="0"/>
                            <a:ext cx="503466" cy="504000"/>
                          </a:xfrm>
                          <a:prstGeom prst="rect">
                            <a:avLst/>
                          </a:prstGeom>
                          <a:noFill/>
                          <a:ln w="9525">
                            <a:noFill/>
                            <a:miter lim="800000"/>
                            <a:headEnd/>
                            <a:tailEnd/>
                          </a:ln>
                        </pic:spPr>
                      </pic:pic>
                    </a:graphicData>
                  </a:graphic>
                </wp:inline>
              </w:drawing>
            </w:r>
          </w:p>
        </w:tc>
      </w:tr>
    </w:tbl>
    <w:p w:rsidR="0078483F" w:rsidRDefault="0078483F" w:rsidP="0078483F">
      <w:pPr>
        <w:tabs>
          <w:tab w:val="left" w:pos="1701"/>
          <w:tab w:val="left" w:pos="1985"/>
        </w:tabs>
        <w:ind w:left="1980" w:hanging="1980"/>
      </w:pPr>
    </w:p>
    <w:p w:rsidR="0078483F" w:rsidRDefault="0078483F" w:rsidP="0078483F">
      <w:pPr>
        <w:tabs>
          <w:tab w:val="left" w:pos="1701"/>
          <w:tab w:val="left" w:pos="1985"/>
        </w:tabs>
        <w:ind w:left="1980" w:hanging="1980"/>
      </w:pPr>
      <w:r>
        <w:t xml:space="preserve">Materialien: </w:t>
      </w:r>
      <w:r>
        <w:tab/>
      </w:r>
      <w:r>
        <w:tab/>
        <w:t xml:space="preserve">2 Bechergläser (230 </w:t>
      </w:r>
      <w:proofErr w:type="spellStart"/>
      <w:r>
        <w:t>mL</w:t>
      </w:r>
      <w:proofErr w:type="spellEnd"/>
      <w:r>
        <w:t xml:space="preserve">), Bürette, </w:t>
      </w:r>
      <w:proofErr w:type="spellStart"/>
      <w:r>
        <w:t>Magnetrührer</w:t>
      </w:r>
      <w:proofErr w:type="spellEnd"/>
      <w:r>
        <w:t>, Trichter, Rührschwein, Pipette, Stativ, Muffe, pH-Meter</w:t>
      </w:r>
    </w:p>
    <w:p w:rsidR="0078483F" w:rsidRPr="00ED07C2" w:rsidRDefault="0078483F" w:rsidP="0078483F">
      <w:pPr>
        <w:tabs>
          <w:tab w:val="left" w:pos="1701"/>
          <w:tab w:val="left" w:pos="1985"/>
        </w:tabs>
        <w:ind w:left="1980" w:hanging="1980"/>
      </w:pPr>
      <w:r>
        <w:t>Chemikalien:</w:t>
      </w:r>
      <w:r>
        <w:tab/>
      </w:r>
      <w:r>
        <w:tab/>
        <w:t>Cola, Natronlauge (0,1 M)</w:t>
      </w:r>
    </w:p>
    <w:p w:rsidR="0078483F" w:rsidRDefault="0078483F" w:rsidP="0078483F">
      <w:pPr>
        <w:tabs>
          <w:tab w:val="left" w:pos="1701"/>
          <w:tab w:val="left" w:pos="1985"/>
        </w:tabs>
        <w:ind w:left="1980" w:hanging="1980"/>
      </w:pPr>
      <w:r>
        <w:t xml:space="preserve">Durchführung: </w:t>
      </w:r>
      <w:r>
        <w:tab/>
      </w:r>
      <w:r>
        <w:tab/>
      </w:r>
      <w:r>
        <w:tab/>
        <w:t xml:space="preserve">150 </w:t>
      </w:r>
      <w:proofErr w:type="spellStart"/>
      <w:r>
        <w:t>mL</w:t>
      </w:r>
      <w:proofErr w:type="spellEnd"/>
      <w:r>
        <w:t xml:space="preserve"> Cola werden in ein Becherglas mit einem </w:t>
      </w:r>
      <w:proofErr w:type="spellStart"/>
      <w:r>
        <w:t>Magnetrührer</w:t>
      </w:r>
      <w:proofErr w:type="spellEnd"/>
      <w:r>
        <w:t xml:space="preserve"> solange gerührt und aufgekocht, bis keine Gasentwicklung mehr zu beobachten ist. Anschließend werden 100 ml der Cola in ein anderes Becherglas geschü</w:t>
      </w:r>
      <w:r>
        <w:t>t</w:t>
      </w:r>
      <w:r>
        <w:t>tet. Die Bürette wird mithilfe des Trichters mit Natronlauge befüllt und der Flüssigkeitsstand wird abgelesen. Danach wird die Cola mit der Natronla</w:t>
      </w:r>
      <w:r>
        <w:t>u</w:t>
      </w:r>
      <w:r>
        <w:t>ge titriert und der pH-Wert der Lösung wird mittels pH-Meter detektiert und kontinuierlich, alle 0,5mL, notiert.</w:t>
      </w:r>
    </w:p>
    <w:p w:rsidR="0078483F" w:rsidRDefault="0078483F" w:rsidP="0078483F">
      <w:pPr>
        <w:tabs>
          <w:tab w:val="left" w:pos="1701"/>
          <w:tab w:val="left" w:pos="1985"/>
        </w:tabs>
        <w:ind w:left="1980" w:hanging="1980"/>
      </w:pPr>
    </w:p>
    <w:p w:rsidR="0078483F" w:rsidRDefault="0078483F" w:rsidP="0078483F">
      <w:pPr>
        <w:tabs>
          <w:tab w:val="left" w:pos="1701"/>
          <w:tab w:val="left" w:pos="1985"/>
        </w:tabs>
        <w:ind w:left="1980" w:hanging="1980"/>
      </w:pPr>
      <w:r>
        <w:lastRenderedPageBreak/>
        <w:t>Versuchsaufbau:</w:t>
      </w:r>
    </w:p>
    <w:p w:rsidR="0078483F" w:rsidRDefault="0078483F" w:rsidP="0078483F">
      <w:pPr>
        <w:keepNext/>
        <w:tabs>
          <w:tab w:val="left" w:pos="1701"/>
          <w:tab w:val="left" w:pos="1985"/>
        </w:tabs>
        <w:ind w:left="1980" w:hanging="1980"/>
        <w:jc w:val="center"/>
      </w:pPr>
      <w:r>
        <w:rPr>
          <w:noProof/>
          <w:lang w:eastAsia="de-DE"/>
        </w:rPr>
        <w:drawing>
          <wp:inline distT="0" distB="0" distL="0" distR="0">
            <wp:extent cx="1288990" cy="2751826"/>
            <wp:effectExtent l="19050" t="0" r="6410" b="0"/>
            <wp:docPr id="50"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cstate="print"/>
                    <a:srcRect/>
                    <a:stretch>
                      <a:fillRect/>
                    </a:stretch>
                  </pic:blipFill>
                  <pic:spPr bwMode="auto">
                    <a:xfrm>
                      <a:off x="0" y="0"/>
                      <a:ext cx="1288990" cy="2751826"/>
                    </a:xfrm>
                    <a:prstGeom prst="rect">
                      <a:avLst/>
                    </a:prstGeom>
                    <a:noFill/>
                    <a:ln w="9525">
                      <a:noFill/>
                      <a:miter lim="800000"/>
                      <a:headEnd/>
                      <a:tailEnd/>
                    </a:ln>
                  </pic:spPr>
                </pic:pic>
              </a:graphicData>
            </a:graphic>
          </wp:inline>
        </w:drawing>
      </w:r>
    </w:p>
    <w:p w:rsidR="0078483F" w:rsidRDefault="0078483F" w:rsidP="0078483F">
      <w:pPr>
        <w:pStyle w:val="Beschriftung"/>
        <w:jc w:val="center"/>
      </w:pPr>
      <w:r>
        <w:t>Abbildung 3: Darstellung des Versuchsaufbaus der Titration von Cola.</w:t>
      </w:r>
    </w:p>
    <w:p w:rsidR="0078483F" w:rsidRDefault="0078483F" w:rsidP="0078483F">
      <w:pPr>
        <w:tabs>
          <w:tab w:val="left" w:pos="1701"/>
          <w:tab w:val="left" w:pos="1985"/>
        </w:tabs>
        <w:ind w:left="1980" w:hanging="1980"/>
      </w:pPr>
      <w:r>
        <w:t>Beobachtung:</w:t>
      </w:r>
      <w:r>
        <w:tab/>
      </w:r>
      <w:r>
        <w:tab/>
      </w:r>
      <w:r>
        <w:tab/>
        <w:t xml:space="preserve">Der pH-Wert vor der </w:t>
      </w:r>
      <w:proofErr w:type="spellStart"/>
      <w:r>
        <w:t>NaOH</w:t>
      </w:r>
      <w:proofErr w:type="spellEnd"/>
      <w:r>
        <w:t xml:space="preserve">-Zugabe beträgt 2,36. Der erste pH-Sprung ist bei einer Zugabe von 4 </w:t>
      </w:r>
      <w:proofErr w:type="spellStart"/>
      <w:r>
        <w:t>mL</w:t>
      </w:r>
      <w:proofErr w:type="spellEnd"/>
      <w:r>
        <w:t xml:space="preserve"> </w:t>
      </w:r>
      <w:proofErr w:type="spellStart"/>
      <w:r>
        <w:t>NaOH</w:t>
      </w:r>
      <w:proofErr w:type="spellEnd"/>
      <w:r>
        <w:t xml:space="preserve">-Lösung von 3,09 auf 4,09. Der zweite pH-Sprung ist bei 9 </w:t>
      </w:r>
      <w:proofErr w:type="spellStart"/>
      <w:r>
        <w:t>mL</w:t>
      </w:r>
      <w:proofErr w:type="spellEnd"/>
      <w:r>
        <w:t xml:space="preserve"> von 7,72 auf 8,52.</w:t>
      </w:r>
    </w:p>
    <w:p w:rsidR="0078483F" w:rsidRDefault="0078483F" w:rsidP="0078483F">
      <w:pPr>
        <w:pStyle w:val="Beschriftung"/>
        <w:keepNext/>
        <w:jc w:val="center"/>
      </w:pPr>
      <w:r>
        <w:t xml:space="preserve">Tabelle </w:t>
      </w:r>
      <w:r>
        <w:fldChar w:fldCharType="begin"/>
      </w:r>
      <w:r>
        <w:instrText xml:space="preserve"> SEQ Tabelle \* ARABIC </w:instrText>
      </w:r>
      <w:r>
        <w:fldChar w:fldCharType="separate"/>
      </w:r>
      <w:r>
        <w:rPr>
          <w:noProof/>
        </w:rPr>
        <w:t>1</w:t>
      </w:r>
      <w:r>
        <w:fldChar w:fldCharType="end"/>
      </w:r>
      <w:r>
        <w:t>: Messwerte der Cola-Titration.</w:t>
      </w:r>
    </w:p>
    <w:tbl>
      <w:tblPr>
        <w:tblW w:w="260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1384"/>
        <w:gridCol w:w="1216"/>
      </w:tblGrid>
      <w:tr w:rsidR="0078483F" w:rsidRPr="00683C63" w:rsidTr="00B048C9">
        <w:trPr>
          <w:trHeight w:val="300"/>
          <w:jc w:val="center"/>
        </w:trPr>
        <w:tc>
          <w:tcPr>
            <w:tcW w:w="1384" w:type="dxa"/>
            <w:shd w:val="clear" w:color="auto" w:fill="auto"/>
            <w:noWrap/>
            <w:vAlign w:val="bottom"/>
            <w:hideMark/>
          </w:tcPr>
          <w:p w:rsidR="0078483F" w:rsidRPr="00683C63" w:rsidRDefault="0078483F" w:rsidP="00B048C9">
            <w:pPr>
              <w:spacing w:after="0" w:line="240" w:lineRule="auto"/>
              <w:jc w:val="right"/>
            </w:pPr>
            <w:r>
              <w:rPr>
                <w:rFonts w:ascii="Calibri" w:eastAsia="Times New Roman" w:hAnsi="Calibri" w:cs="Times New Roman"/>
                <w:color w:val="000000"/>
                <w:lang w:eastAsia="de-DE"/>
              </w:rPr>
              <w:t>V(</w:t>
            </w:r>
            <w:proofErr w:type="spellStart"/>
            <w:r>
              <w:rPr>
                <w:rFonts w:ascii="Calibri" w:eastAsia="Times New Roman" w:hAnsi="Calibri" w:cs="Times New Roman"/>
                <w:color w:val="000000"/>
                <w:lang w:eastAsia="de-DE"/>
              </w:rPr>
              <w:t>NaOH</w:t>
            </w:r>
            <w:proofErr w:type="spellEnd"/>
            <w:r>
              <w:rPr>
                <w:rFonts w:ascii="Calibri" w:eastAsia="Times New Roman" w:hAnsi="Calibri" w:cs="Times New Roman"/>
                <w:color w:val="000000"/>
                <w:lang w:eastAsia="de-DE"/>
              </w:rPr>
              <w:t>)</w:t>
            </w:r>
            <w:r>
              <w:t>[</w:t>
            </w:r>
            <w:proofErr w:type="spellStart"/>
            <w:r>
              <w:t>mL</w:t>
            </w:r>
            <w:proofErr w:type="spellEnd"/>
            <w:r>
              <w:t>]</w:t>
            </w:r>
          </w:p>
        </w:tc>
        <w:tc>
          <w:tcPr>
            <w:tcW w:w="1216"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Pr>
                <w:rFonts w:ascii="Calibri" w:eastAsia="Times New Roman" w:hAnsi="Calibri" w:cs="Times New Roman"/>
                <w:color w:val="000000"/>
                <w:lang w:eastAsia="de-DE"/>
              </w:rPr>
              <w:t>pH-Wert</w:t>
            </w:r>
          </w:p>
        </w:tc>
      </w:tr>
      <w:tr w:rsidR="0078483F" w:rsidRPr="00683C63" w:rsidTr="00B048C9">
        <w:trPr>
          <w:trHeight w:val="300"/>
          <w:jc w:val="center"/>
        </w:trPr>
        <w:tc>
          <w:tcPr>
            <w:tcW w:w="1384"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0</w:t>
            </w:r>
          </w:p>
        </w:tc>
        <w:tc>
          <w:tcPr>
            <w:tcW w:w="1216"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2,36</w:t>
            </w:r>
          </w:p>
        </w:tc>
      </w:tr>
      <w:tr w:rsidR="0078483F" w:rsidRPr="00683C63" w:rsidTr="00B048C9">
        <w:trPr>
          <w:trHeight w:val="300"/>
          <w:jc w:val="center"/>
        </w:trPr>
        <w:tc>
          <w:tcPr>
            <w:tcW w:w="1384"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0,5</w:t>
            </w:r>
          </w:p>
        </w:tc>
        <w:tc>
          <w:tcPr>
            <w:tcW w:w="1216"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2,37</w:t>
            </w:r>
          </w:p>
        </w:tc>
      </w:tr>
      <w:tr w:rsidR="0078483F" w:rsidRPr="00683C63" w:rsidTr="00B048C9">
        <w:trPr>
          <w:trHeight w:val="300"/>
          <w:jc w:val="center"/>
        </w:trPr>
        <w:tc>
          <w:tcPr>
            <w:tcW w:w="1384"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1</w:t>
            </w:r>
          </w:p>
        </w:tc>
        <w:tc>
          <w:tcPr>
            <w:tcW w:w="1216"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2,37</w:t>
            </w:r>
          </w:p>
        </w:tc>
      </w:tr>
      <w:tr w:rsidR="0078483F" w:rsidRPr="00683C63" w:rsidTr="00B048C9">
        <w:trPr>
          <w:trHeight w:val="300"/>
          <w:jc w:val="center"/>
        </w:trPr>
        <w:tc>
          <w:tcPr>
            <w:tcW w:w="1384"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1,5</w:t>
            </w:r>
          </w:p>
        </w:tc>
        <w:tc>
          <w:tcPr>
            <w:tcW w:w="1216"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2,38</w:t>
            </w:r>
          </w:p>
        </w:tc>
      </w:tr>
      <w:tr w:rsidR="0078483F" w:rsidRPr="00683C63" w:rsidTr="00B048C9">
        <w:trPr>
          <w:trHeight w:val="300"/>
          <w:jc w:val="center"/>
        </w:trPr>
        <w:tc>
          <w:tcPr>
            <w:tcW w:w="1384"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2</w:t>
            </w:r>
          </w:p>
        </w:tc>
        <w:tc>
          <w:tcPr>
            <w:tcW w:w="1216"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2,39</w:t>
            </w:r>
          </w:p>
        </w:tc>
      </w:tr>
      <w:tr w:rsidR="0078483F" w:rsidRPr="00683C63" w:rsidTr="00B048C9">
        <w:trPr>
          <w:trHeight w:val="300"/>
          <w:jc w:val="center"/>
        </w:trPr>
        <w:tc>
          <w:tcPr>
            <w:tcW w:w="1384"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2,5</w:t>
            </w:r>
          </w:p>
        </w:tc>
        <w:tc>
          <w:tcPr>
            <w:tcW w:w="1216"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2,52</w:t>
            </w:r>
          </w:p>
        </w:tc>
      </w:tr>
      <w:tr w:rsidR="0078483F" w:rsidRPr="00683C63" w:rsidTr="00B048C9">
        <w:trPr>
          <w:trHeight w:val="300"/>
          <w:jc w:val="center"/>
        </w:trPr>
        <w:tc>
          <w:tcPr>
            <w:tcW w:w="1384"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3</w:t>
            </w:r>
          </w:p>
        </w:tc>
        <w:tc>
          <w:tcPr>
            <w:tcW w:w="1216"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2,61</w:t>
            </w:r>
          </w:p>
        </w:tc>
      </w:tr>
      <w:tr w:rsidR="0078483F" w:rsidRPr="00683C63" w:rsidTr="00B048C9">
        <w:trPr>
          <w:trHeight w:val="300"/>
          <w:jc w:val="center"/>
        </w:trPr>
        <w:tc>
          <w:tcPr>
            <w:tcW w:w="1384"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3,5</w:t>
            </w:r>
          </w:p>
        </w:tc>
        <w:tc>
          <w:tcPr>
            <w:tcW w:w="1216"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2,81</w:t>
            </w:r>
          </w:p>
        </w:tc>
      </w:tr>
      <w:tr w:rsidR="0078483F" w:rsidRPr="00683C63" w:rsidTr="00B048C9">
        <w:trPr>
          <w:trHeight w:val="300"/>
          <w:jc w:val="center"/>
        </w:trPr>
        <w:tc>
          <w:tcPr>
            <w:tcW w:w="1384"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4</w:t>
            </w:r>
          </w:p>
        </w:tc>
        <w:tc>
          <w:tcPr>
            <w:tcW w:w="1216"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3,09</w:t>
            </w:r>
          </w:p>
        </w:tc>
      </w:tr>
      <w:tr w:rsidR="0078483F" w:rsidRPr="00683C63" w:rsidTr="00B048C9">
        <w:trPr>
          <w:trHeight w:val="300"/>
          <w:jc w:val="center"/>
        </w:trPr>
        <w:tc>
          <w:tcPr>
            <w:tcW w:w="1384"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4,5</w:t>
            </w:r>
          </w:p>
        </w:tc>
        <w:tc>
          <w:tcPr>
            <w:tcW w:w="1216"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4,09</w:t>
            </w:r>
          </w:p>
        </w:tc>
      </w:tr>
      <w:tr w:rsidR="0078483F" w:rsidRPr="00683C63" w:rsidTr="00B048C9">
        <w:trPr>
          <w:trHeight w:val="300"/>
          <w:jc w:val="center"/>
        </w:trPr>
        <w:tc>
          <w:tcPr>
            <w:tcW w:w="1384"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5</w:t>
            </w:r>
          </w:p>
        </w:tc>
        <w:tc>
          <w:tcPr>
            <w:tcW w:w="1216"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5,49</w:t>
            </w:r>
          </w:p>
        </w:tc>
      </w:tr>
      <w:tr w:rsidR="0078483F" w:rsidRPr="00683C63" w:rsidTr="00B048C9">
        <w:trPr>
          <w:trHeight w:val="300"/>
          <w:jc w:val="center"/>
        </w:trPr>
        <w:tc>
          <w:tcPr>
            <w:tcW w:w="1384"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5,5</w:t>
            </w:r>
          </w:p>
        </w:tc>
        <w:tc>
          <w:tcPr>
            <w:tcW w:w="1216"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6,06</w:t>
            </w:r>
          </w:p>
        </w:tc>
      </w:tr>
      <w:tr w:rsidR="0078483F" w:rsidRPr="00683C63" w:rsidTr="00B048C9">
        <w:trPr>
          <w:trHeight w:val="300"/>
          <w:jc w:val="center"/>
        </w:trPr>
        <w:tc>
          <w:tcPr>
            <w:tcW w:w="1384"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6</w:t>
            </w:r>
          </w:p>
        </w:tc>
        <w:tc>
          <w:tcPr>
            <w:tcW w:w="1216"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6,33</w:t>
            </w:r>
          </w:p>
        </w:tc>
      </w:tr>
      <w:tr w:rsidR="0078483F" w:rsidRPr="00683C63" w:rsidTr="00B048C9">
        <w:trPr>
          <w:trHeight w:val="300"/>
          <w:jc w:val="center"/>
        </w:trPr>
        <w:tc>
          <w:tcPr>
            <w:tcW w:w="1384"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6,5</w:t>
            </w:r>
          </w:p>
        </w:tc>
        <w:tc>
          <w:tcPr>
            <w:tcW w:w="1216"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6,62</w:t>
            </w:r>
          </w:p>
        </w:tc>
      </w:tr>
      <w:tr w:rsidR="0078483F" w:rsidRPr="00683C63" w:rsidTr="00B048C9">
        <w:trPr>
          <w:trHeight w:val="300"/>
          <w:jc w:val="center"/>
        </w:trPr>
        <w:tc>
          <w:tcPr>
            <w:tcW w:w="1384"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7</w:t>
            </w:r>
          </w:p>
        </w:tc>
        <w:tc>
          <w:tcPr>
            <w:tcW w:w="1216"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6,8</w:t>
            </w:r>
          </w:p>
        </w:tc>
      </w:tr>
      <w:tr w:rsidR="0078483F" w:rsidRPr="00683C63" w:rsidTr="00B048C9">
        <w:trPr>
          <w:trHeight w:val="300"/>
          <w:jc w:val="center"/>
        </w:trPr>
        <w:tc>
          <w:tcPr>
            <w:tcW w:w="1384"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7,5</w:t>
            </w:r>
          </w:p>
        </w:tc>
        <w:tc>
          <w:tcPr>
            <w:tcW w:w="1216"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7,01</w:t>
            </w:r>
          </w:p>
        </w:tc>
      </w:tr>
      <w:tr w:rsidR="0078483F" w:rsidRPr="00683C63" w:rsidTr="00B048C9">
        <w:trPr>
          <w:trHeight w:val="300"/>
          <w:jc w:val="center"/>
        </w:trPr>
        <w:tc>
          <w:tcPr>
            <w:tcW w:w="1384"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8</w:t>
            </w:r>
          </w:p>
        </w:tc>
        <w:tc>
          <w:tcPr>
            <w:tcW w:w="1216"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7,21</w:t>
            </w:r>
          </w:p>
        </w:tc>
      </w:tr>
      <w:tr w:rsidR="0078483F" w:rsidRPr="00683C63" w:rsidTr="00B048C9">
        <w:trPr>
          <w:trHeight w:val="300"/>
          <w:jc w:val="center"/>
        </w:trPr>
        <w:tc>
          <w:tcPr>
            <w:tcW w:w="1384"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9</w:t>
            </w:r>
          </w:p>
        </w:tc>
        <w:tc>
          <w:tcPr>
            <w:tcW w:w="1216"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7,72</w:t>
            </w:r>
          </w:p>
        </w:tc>
      </w:tr>
      <w:tr w:rsidR="0078483F" w:rsidRPr="00683C63" w:rsidTr="00B048C9">
        <w:trPr>
          <w:trHeight w:val="300"/>
          <w:jc w:val="center"/>
        </w:trPr>
        <w:tc>
          <w:tcPr>
            <w:tcW w:w="1384"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10</w:t>
            </w:r>
          </w:p>
        </w:tc>
        <w:tc>
          <w:tcPr>
            <w:tcW w:w="1216"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8,52</w:t>
            </w:r>
          </w:p>
        </w:tc>
      </w:tr>
      <w:tr w:rsidR="0078483F" w:rsidRPr="00683C63" w:rsidTr="00B048C9">
        <w:trPr>
          <w:trHeight w:val="300"/>
          <w:jc w:val="center"/>
        </w:trPr>
        <w:tc>
          <w:tcPr>
            <w:tcW w:w="1384"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11</w:t>
            </w:r>
          </w:p>
        </w:tc>
        <w:tc>
          <w:tcPr>
            <w:tcW w:w="1216"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9,18</w:t>
            </w:r>
          </w:p>
        </w:tc>
      </w:tr>
      <w:tr w:rsidR="0078483F" w:rsidRPr="00683C63" w:rsidTr="00B048C9">
        <w:trPr>
          <w:trHeight w:val="300"/>
          <w:jc w:val="center"/>
        </w:trPr>
        <w:tc>
          <w:tcPr>
            <w:tcW w:w="1384"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12</w:t>
            </w:r>
          </w:p>
        </w:tc>
        <w:tc>
          <w:tcPr>
            <w:tcW w:w="1216"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9,53</w:t>
            </w:r>
          </w:p>
        </w:tc>
      </w:tr>
      <w:tr w:rsidR="0078483F" w:rsidRPr="00683C63" w:rsidTr="00B048C9">
        <w:trPr>
          <w:trHeight w:val="300"/>
          <w:jc w:val="center"/>
        </w:trPr>
        <w:tc>
          <w:tcPr>
            <w:tcW w:w="1384"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lastRenderedPageBreak/>
              <w:t>13</w:t>
            </w:r>
          </w:p>
        </w:tc>
        <w:tc>
          <w:tcPr>
            <w:tcW w:w="1216"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9,75</w:t>
            </w:r>
          </w:p>
        </w:tc>
      </w:tr>
      <w:tr w:rsidR="0078483F" w:rsidRPr="00683C63" w:rsidTr="00B048C9">
        <w:trPr>
          <w:trHeight w:val="300"/>
          <w:jc w:val="center"/>
        </w:trPr>
        <w:tc>
          <w:tcPr>
            <w:tcW w:w="1384"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14</w:t>
            </w:r>
          </w:p>
        </w:tc>
        <w:tc>
          <w:tcPr>
            <w:tcW w:w="1216"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9,9</w:t>
            </w:r>
          </w:p>
        </w:tc>
      </w:tr>
      <w:tr w:rsidR="0078483F" w:rsidRPr="00683C63" w:rsidTr="00B048C9">
        <w:trPr>
          <w:trHeight w:val="300"/>
          <w:jc w:val="center"/>
        </w:trPr>
        <w:tc>
          <w:tcPr>
            <w:tcW w:w="1384"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15</w:t>
            </w:r>
          </w:p>
        </w:tc>
        <w:tc>
          <w:tcPr>
            <w:tcW w:w="1216"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10,04</w:t>
            </w:r>
          </w:p>
        </w:tc>
      </w:tr>
      <w:tr w:rsidR="0078483F" w:rsidRPr="00683C63" w:rsidTr="00B048C9">
        <w:trPr>
          <w:trHeight w:val="300"/>
          <w:jc w:val="center"/>
        </w:trPr>
        <w:tc>
          <w:tcPr>
            <w:tcW w:w="1384"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16</w:t>
            </w:r>
          </w:p>
        </w:tc>
        <w:tc>
          <w:tcPr>
            <w:tcW w:w="1216"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10,12</w:t>
            </w:r>
          </w:p>
        </w:tc>
      </w:tr>
      <w:tr w:rsidR="0078483F" w:rsidRPr="00683C63" w:rsidTr="00B048C9">
        <w:trPr>
          <w:trHeight w:val="300"/>
          <w:jc w:val="center"/>
        </w:trPr>
        <w:tc>
          <w:tcPr>
            <w:tcW w:w="1384"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17</w:t>
            </w:r>
          </w:p>
        </w:tc>
        <w:tc>
          <w:tcPr>
            <w:tcW w:w="1216"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10,22</w:t>
            </w:r>
          </w:p>
        </w:tc>
      </w:tr>
      <w:tr w:rsidR="0078483F" w:rsidRPr="00683C63" w:rsidTr="00B048C9">
        <w:trPr>
          <w:trHeight w:val="300"/>
          <w:jc w:val="center"/>
        </w:trPr>
        <w:tc>
          <w:tcPr>
            <w:tcW w:w="1384"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17,5</w:t>
            </w:r>
          </w:p>
        </w:tc>
        <w:tc>
          <w:tcPr>
            <w:tcW w:w="1216"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10,26</w:t>
            </w:r>
          </w:p>
        </w:tc>
      </w:tr>
      <w:tr w:rsidR="0078483F" w:rsidRPr="00683C63" w:rsidTr="00B048C9">
        <w:trPr>
          <w:trHeight w:val="300"/>
          <w:jc w:val="center"/>
        </w:trPr>
        <w:tc>
          <w:tcPr>
            <w:tcW w:w="1384"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18</w:t>
            </w:r>
          </w:p>
        </w:tc>
        <w:tc>
          <w:tcPr>
            <w:tcW w:w="1216"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10,28</w:t>
            </w:r>
          </w:p>
        </w:tc>
      </w:tr>
      <w:tr w:rsidR="0078483F" w:rsidRPr="00683C63" w:rsidTr="00B048C9">
        <w:trPr>
          <w:trHeight w:val="300"/>
          <w:jc w:val="center"/>
        </w:trPr>
        <w:tc>
          <w:tcPr>
            <w:tcW w:w="1384"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18,5</w:t>
            </w:r>
          </w:p>
        </w:tc>
        <w:tc>
          <w:tcPr>
            <w:tcW w:w="1216"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10,31</w:t>
            </w:r>
          </w:p>
        </w:tc>
      </w:tr>
      <w:tr w:rsidR="0078483F" w:rsidRPr="00683C63" w:rsidTr="00B048C9">
        <w:trPr>
          <w:trHeight w:val="300"/>
          <w:jc w:val="center"/>
        </w:trPr>
        <w:tc>
          <w:tcPr>
            <w:tcW w:w="1384"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19</w:t>
            </w:r>
          </w:p>
        </w:tc>
        <w:tc>
          <w:tcPr>
            <w:tcW w:w="1216"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10,35</w:t>
            </w:r>
          </w:p>
        </w:tc>
      </w:tr>
      <w:tr w:rsidR="0078483F" w:rsidRPr="00683C63" w:rsidTr="00B048C9">
        <w:trPr>
          <w:trHeight w:val="300"/>
          <w:jc w:val="center"/>
        </w:trPr>
        <w:tc>
          <w:tcPr>
            <w:tcW w:w="1384"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19,5</w:t>
            </w:r>
          </w:p>
        </w:tc>
        <w:tc>
          <w:tcPr>
            <w:tcW w:w="1216"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10,37</w:t>
            </w:r>
          </w:p>
        </w:tc>
      </w:tr>
      <w:tr w:rsidR="0078483F" w:rsidRPr="00683C63" w:rsidTr="00B048C9">
        <w:trPr>
          <w:trHeight w:val="300"/>
          <w:jc w:val="center"/>
        </w:trPr>
        <w:tc>
          <w:tcPr>
            <w:tcW w:w="1384"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20</w:t>
            </w:r>
          </w:p>
        </w:tc>
        <w:tc>
          <w:tcPr>
            <w:tcW w:w="1216"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10,41</w:t>
            </w:r>
          </w:p>
        </w:tc>
      </w:tr>
      <w:tr w:rsidR="0078483F" w:rsidRPr="00683C63" w:rsidTr="00B048C9">
        <w:trPr>
          <w:trHeight w:val="300"/>
          <w:jc w:val="center"/>
        </w:trPr>
        <w:tc>
          <w:tcPr>
            <w:tcW w:w="1384"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20,5</w:t>
            </w:r>
          </w:p>
        </w:tc>
        <w:tc>
          <w:tcPr>
            <w:tcW w:w="1216"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10,43</w:t>
            </w:r>
          </w:p>
        </w:tc>
      </w:tr>
      <w:tr w:rsidR="0078483F" w:rsidRPr="00683C63" w:rsidTr="00B048C9">
        <w:trPr>
          <w:trHeight w:val="300"/>
          <w:jc w:val="center"/>
        </w:trPr>
        <w:tc>
          <w:tcPr>
            <w:tcW w:w="1384"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21</w:t>
            </w:r>
          </w:p>
        </w:tc>
        <w:tc>
          <w:tcPr>
            <w:tcW w:w="1216" w:type="dxa"/>
            <w:shd w:val="clear" w:color="auto" w:fill="auto"/>
            <w:noWrap/>
            <w:vAlign w:val="bottom"/>
            <w:hideMark/>
          </w:tcPr>
          <w:p w:rsidR="0078483F" w:rsidRPr="00683C63" w:rsidRDefault="0078483F" w:rsidP="00B048C9">
            <w:pPr>
              <w:spacing w:after="0" w:line="240" w:lineRule="auto"/>
              <w:jc w:val="right"/>
              <w:rPr>
                <w:rFonts w:ascii="Calibri" w:eastAsia="Times New Roman" w:hAnsi="Calibri" w:cs="Times New Roman"/>
                <w:color w:val="000000"/>
                <w:lang w:eastAsia="de-DE"/>
              </w:rPr>
            </w:pPr>
            <w:r w:rsidRPr="00683C63">
              <w:rPr>
                <w:rFonts w:ascii="Calibri" w:eastAsia="Times New Roman" w:hAnsi="Calibri" w:cs="Times New Roman"/>
                <w:color w:val="000000"/>
                <w:lang w:eastAsia="de-DE"/>
              </w:rPr>
              <w:t>10,45</w:t>
            </w:r>
          </w:p>
        </w:tc>
      </w:tr>
    </w:tbl>
    <w:p w:rsidR="0078483F" w:rsidRDefault="0078483F" w:rsidP="0078483F">
      <w:pPr>
        <w:tabs>
          <w:tab w:val="left" w:pos="1701"/>
          <w:tab w:val="left" w:pos="1985"/>
        </w:tabs>
        <w:ind w:left="2124" w:hanging="2124"/>
      </w:pPr>
    </w:p>
    <w:p w:rsidR="0078483F" w:rsidRDefault="0078483F" w:rsidP="0078483F">
      <w:pPr>
        <w:tabs>
          <w:tab w:val="left" w:pos="1701"/>
          <w:tab w:val="left" w:pos="1985"/>
        </w:tabs>
        <w:ind w:left="2124" w:hanging="2124"/>
      </w:pPr>
      <w:r>
        <w:t>Deutung:</w:t>
      </w:r>
      <w:r>
        <w:tab/>
      </w:r>
      <w:r>
        <w:tab/>
      </w:r>
      <w:r>
        <w:tab/>
        <w:t>Werden nun die Messwerte graphisch aufgetragen, erhält man eine Titr</w:t>
      </w:r>
      <w:r>
        <w:t>a</w:t>
      </w:r>
      <w:r>
        <w:t xml:space="preserve">tionskurve (siehe Abbildung 4). Aus der graphischen Auftragung ist zu erkennen, dass es sich bei der Phosphorsäure um eine mehrprotonige Säure handelt, die drei </w:t>
      </w:r>
      <w:proofErr w:type="spellStart"/>
      <w:r>
        <w:t>Deprotonierungsstufen</w:t>
      </w:r>
      <w:proofErr w:type="spellEnd"/>
      <w:r>
        <w:t xml:space="preserve"> aufweisen müsste. Alle</w:t>
      </w:r>
      <w:r>
        <w:t>r</w:t>
      </w:r>
      <w:r>
        <w:t>dings sind nur zwei Dissoziationsstufen zu erkennen, da die dritte in den Bereich, bei einem pH-Wert von ca. 11, des Titrationsmittels fällt und d</w:t>
      </w:r>
      <w:r>
        <w:t>a</w:t>
      </w:r>
      <w:r>
        <w:t xml:space="preserve">her nicht wahrgenommen wird. Um den dritten ÄP messen zu können, hätte eine 1 M </w:t>
      </w:r>
      <w:proofErr w:type="spellStart"/>
      <w:r>
        <w:t>NaOH</w:t>
      </w:r>
      <w:proofErr w:type="spellEnd"/>
      <w:r>
        <w:t xml:space="preserve">-Lösung anstelle einer 0,1 M </w:t>
      </w:r>
      <w:proofErr w:type="spellStart"/>
      <w:r>
        <w:t>NaOH</w:t>
      </w:r>
      <w:proofErr w:type="spellEnd"/>
      <w:r>
        <w:t>-Lösung verwe</w:t>
      </w:r>
      <w:r>
        <w:t>n</w:t>
      </w:r>
      <w:r>
        <w:t xml:space="preserve">det werden müssen. Die Verdünnung bei der 0,1 M </w:t>
      </w:r>
      <w:proofErr w:type="spellStart"/>
      <w:r>
        <w:t>NaOH</w:t>
      </w:r>
      <w:proofErr w:type="spellEnd"/>
      <w:r>
        <w:t xml:space="preserve"> ist in dem B</w:t>
      </w:r>
      <w:r>
        <w:t>e</w:t>
      </w:r>
      <w:r>
        <w:t xml:space="preserve">reich des dritten ÄP so groß, dass das letzte Proton nicht dissoziiert. Dies ist bei der 1 M </w:t>
      </w:r>
      <w:proofErr w:type="spellStart"/>
      <w:r>
        <w:t>NaOH</w:t>
      </w:r>
      <w:proofErr w:type="spellEnd"/>
      <w:r>
        <w:t xml:space="preserve"> nicht der Fall, da die höhere Konzentration das Gleichgewicht auf die dissoziierte Seite der dritten </w:t>
      </w:r>
      <w:proofErr w:type="spellStart"/>
      <w:r>
        <w:t>Protolysestufe</w:t>
      </w:r>
      <w:proofErr w:type="spellEnd"/>
      <w:r>
        <w:t xml:space="preserve"> ve</w:t>
      </w:r>
      <w:r>
        <w:t>r</w:t>
      </w:r>
      <w:r>
        <w:t>schiebt.</w:t>
      </w:r>
    </w:p>
    <w:p w:rsidR="0078483F" w:rsidRDefault="0078483F" w:rsidP="0078483F">
      <w:pPr>
        <w:keepNext/>
        <w:tabs>
          <w:tab w:val="left" w:pos="1701"/>
          <w:tab w:val="left" w:pos="1985"/>
        </w:tabs>
        <w:ind w:left="2124" w:hanging="2124"/>
        <w:jc w:val="center"/>
      </w:pPr>
      <w:r w:rsidRPr="00D3342C">
        <w:rPr>
          <w:rFonts w:eastAsiaTheme="minorEastAsia"/>
          <w:noProof/>
          <w:lang w:eastAsia="de-DE"/>
        </w:rPr>
        <w:lastRenderedPageBreak/>
        <w:drawing>
          <wp:inline distT="0" distB="0" distL="0" distR="0">
            <wp:extent cx="5760720" cy="3140039"/>
            <wp:effectExtent l="19050" t="0" r="11430" b="3211"/>
            <wp:docPr id="51" name="Diagramm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8483F" w:rsidRDefault="0078483F" w:rsidP="0078483F">
      <w:pPr>
        <w:pStyle w:val="Beschriftung"/>
        <w:jc w:val="center"/>
      </w:pPr>
      <w:r>
        <w:t>Abbildung 4: Titrationskurve der Cola.</w:t>
      </w:r>
    </w:p>
    <w:p w:rsidR="0078483F" w:rsidRDefault="0078483F" w:rsidP="0078483F">
      <w:pPr>
        <w:ind w:left="2127"/>
      </w:pPr>
      <w:r>
        <w:t>Folgende Reaktionsgleichungen veranschaulichen die Deprotonierung der Phosphorsäure.</w:t>
      </w:r>
    </w:p>
    <w:p w:rsidR="0078483F" w:rsidRPr="009B781F" w:rsidRDefault="0078483F" w:rsidP="0078483F">
      <w:pPr>
        <w:ind w:left="2127"/>
      </w:pPr>
      <w:r w:rsidRPr="00391C0C">
        <w:rPr>
          <w:u w:val="single"/>
        </w:rPr>
        <w:t>RG 1:</w:t>
      </w:r>
      <w:r w:rsidRPr="00391C0C">
        <w:t xml:space="preserve"> H</w:t>
      </w:r>
      <w:r w:rsidRPr="00391C0C">
        <w:rPr>
          <w:vertAlign w:val="subscript"/>
        </w:rPr>
        <w:t>3</w:t>
      </w:r>
      <w:r w:rsidRPr="00391C0C">
        <w:t>PO</w:t>
      </w:r>
      <w:r w:rsidRPr="00391C0C">
        <w:rPr>
          <w:vertAlign w:val="subscript"/>
        </w:rPr>
        <w:t>4(</w:t>
      </w:r>
      <w:proofErr w:type="spellStart"/>
      <w:r w:rsidRPr="00391C0C">
        <w:rPr>
          <w:vertAlign w:val="subscript"/>
        </w:rPr>
        <w:t>aq</w:t>
      </w:r>
      <w:proofErr w:type="spellEnd"/>
      <w:r w:rsidRPr="00391C0C">
        <w:rPr>
          <w:vertAlign w:val="subscript"/>
        </w:rPr>
        <w:t>)</w:t>
      </w:r>
      <w:r w:rsidRPr="00391C0C">
        <w:t xml:space="preserve"> + H</w:t>
      </w:r>
      <w:r w:rsidRPr="00391C0C">
        <w:rPr>
          <w:vertAlign w:val="subscript"/>
        </w:rPr>
        <w:t>2</w:t>
      </w:r>
      <w:r w:rsidRPr="00391C0C">
        <w:t>O</w:t>
      </w:r>
      <w:r w:rsidRPr="00391C0C">
        <w:rPr>
          <w:vertAlign w:val="subscript"/>
        </w:rPr>
        <w:t>(l)</w:t>
      </w:r>
      <w:r w:rsidRPr="00391C0C">
        <w:t xml:space="preserve"> ⇌ H</w:t>
      </w:r>
      <w:r w:rsidRPr="00391C0C">
        <w:rPr>
          <w:vertAlign w:val="subscript"/>
        </w:rPr>
        <w:t>3</w:t>
      </w:r>
      <w:r w:rsidRPr="00391C0C">
        <w:t>O</w:t>
      </w:r>
      <w:r w:rsidRPr="00391C0C">
        <w:rPr>
          <w:vertAlign w:val="superscript"/>
        </w:rPr>
        <w:t>+</w:t>
      </w:r>
      <w:r w:rsidRPr="00391C0C">
        <w:rPr>
          <w:vertAlign w:val="subscript"/>
        </w:rPr>
        <w:t>(</w:t>
      </w:r>
      <w:proofErr w:type="spellStart"/>
      <w:r w:rsidRPr="00391C0C">
        <w:rPr>
          <w:vertAlign w:val="subscript"/>
        </w:rPr>
        <w:t>aq</w:t>
      </w:r>
      <w:proofErr w:type="spellEnd"/>
      <w:r w:rsidRPr="00391C0C">
        <w:rPr>
          <w:vertAlign w:val="subscript"/>
        </w:rPr>
        <w:t>)</w:t>
      </w:r>
      <w:r w:rsidRPr="00391C0C">
        <w:t xml:space="preserve"> + H</w:t>
      </w:r>
      <w:r w:rsidRPr="00391C0C">
        <w:rPr>
          <w:vertAlign w:val="subscript"/>
        </w:rPr>
        <w:t>2</w:t>
      </w:r>
      <w:r w:rsidRPr="00391C0C">
        <w:t>PO</w:t>
      </w:r>
      <w:r w:rsidRPr="00391C0C">
        <w:rPr>
          <w:vertAlign w:val="subscript"/>
        </w:rPr>
        <w:t>4</w:t>
      </w:r>
      <w:r w:rsidRPr="00391C0C">
        <w:rPr>
          <w:vertAlign w:val="superscript"/>
        </w:rPr>
        <w:t>-</w:t>
      </w:r>
      <w:r w:rsidRPr="00391C0C">
        <w:rPr>
          <w:vertAlign w:val="subscript"/>
        </w:rPr>
        <w:t>(</w:t>
      </w:r>
      <w:proofErr w:type="spellStart"/>
      <w:r w:rsidRPr="00391C0C">
        <w:rPr>
          <w:vertAlign w:val="subscript"/>
        </w:rPr>
        <w:t>aq</w:t>
      </w:r>
      <w:proofErr w:type="spellEnd"/>
      <w:r w:rsidRPr="00391C0C">
        <w:rPr>
          <w:vertAlign w:val="subscript"/>
        </w:rPr>
        <w:t>)</w:t>
      </w:r>
      <w:r>
        <w:tab/>
      </w:r>
      <w:r>
        <w:tab/>
      </w:r>
      <w:proofErr w:type="spellStart"/>
      <w:r>
        <w:t>pK</w:t>
      </w:r>
      <w:r>
        <w:rPr>
          <w:vertAlign w:val="subscript"/>
        </w:rPr>
        <w:t>s</w:t>
      </w:r>
      <w:proofErr w:type="spellEnd"/>
      <w:r>
        <w:t>= 2,16</w:t>
      </w:r>
    </w:p>
    <w:p w:rsidR="0078483F" w:rsidRPr="009B781F" w:rsidRDefault="0078483F" w:rsidP="0078483F">
      <w:pPr>
        <w:ind w:left="2127"/>
      </w:pPr>
      <w:r w:rsidRPr="00391C0C">
        <w:rPr>
          <w:u w:val="single"/>
        </w:rPr>
        <w:t>RG 2:</w:t>
      </w:r>
      <w:r w:rsidRPr="00391C0C">
        <w:t xml:space="preserve"> H</w:t>
      </w:r>
      <w:r w:rsidRPr="00391C0C">
        <w:rPr>
          <w:vertAlign w:val="subscript"/>
        </w:rPr>
        <w:t>2</w:t>
      </w:r>
      <w:r w:rsidRPr="00391C0C">
        <w:t>PO</w:t>
      </w:r>
      <w:r w:rsidRPr="00391C0C">
        <w:rPr>
          <w:vertAlign w:val="subscript"/>
        </w:rPr>
        <w:t>4</w:t>
      </w:r>
      <w:r w:rsidRPr="00391C0C">
        <w:rPr>
          <w:vertAlign w:val="superscript"/>
        </w:rPr>
        <w:t>-</w:t>
      </w:r>
      <w:r w:rsidRPr="00391C0C">
        <w:rPr>
          <w:vertAlign w:val="subscript"/>
        </w:rPr>
        <w:t>(</w:t>
      </w:r>
      <w:proofErr w:type="spellStart"/>
      <w:r w:rsidRPr="00391C0C">
        <w:rPr>
          <w:vertAlign w:val="subscript"/>
        </w:rPr>
        <w:t>aq</w:t>
      </w:r>
      <w:proofErr w:type="spellEnd"/>
      <w:r w:rsidRPr="00391C0C">
        <w:rPr>
          <w:vertAlign w:val="subscript"/>
        </w:rPr>
        <w:t>)</w:t>
      </w:r>
      <w:r w:rsidRPr="00391C0C">
        <w:t xml:space="preserve"> + H</w:t>
      </w:r>
      <w:r w:rsidRPr="00391C0C">
        <w:rPr>
          <w:vertAlign w:val="subscript"/>
        </w:rPr>
        <w:t>2</w:t>
      </w:r>
      <w:r w:rsidRPr="00391C0C">
        <w:t>O</w:t>
      </w:r>
      <w:r w:rsidRPr="00391C0C">
        <w:rPr>
          <w:vertAlign w:val="subscript"/>
        </w:rPr>
        <w:t>(l)</w:t>
      </w:r>
      <w:r w:rsidRPr="00391C0C">
        <w:t xml:space="preserve"> ⇌ H</w:t>
      </w:r>
      <w:r w:rsidRPr="00391C0C">
        <w:rPr>
          <w:vertAlign w:val="subscript"/>
        </w:rPr>
        <w:t>3</w:t>
      </w:r>
      <w:r w:rsidRPr="00391C0C">
        <w:t>O</w:t>
      </w:r>
      <w:r w:rsidRPr="00391C0C">
        <w:rPr>
          <w:vertAlign w:val="superscript"/>
        </w:rPr>
        <w:t>+</w:t>
      </w:r>
      <w:r w:rsidRPr="00391C0C">
        <w:rPr>
          <w:vertAlign w:val="subscript"/>
        </w:rPr>
        <w:t>(</w:t>
      </w:r>
      <w:proofErr w:type="spellStart"/>
      <w:r w:rsidRPr="00391C0C">
        <w:rPr>
          <w:vertAlign w:val="subscript"/>
        </w:rPr>
        <w:t>aq</w:t>
      </w:r>
      <w:proofErr w:type="spellEnd"/>
      <w:r w:rsidRPr="00391C0C">
        <w:rPr>
          <w:vertAlign w:val="subscript"/>
        </w:rPr>
        <w:t>)</w:t>
      </w:r>
      <w:r w:rsidRPr="00391C0C">
        <w:t xml:space="preserve"> + HPO</w:t>
      </w:r>
      <w:r w:rsidRPr="00391C0C">
        <w:rPr>
          <w:vertAlign w:val="subscript"/>
        </w:rPr>
        <w:t>4</w:t>
      </w:r>
      <w:r w:rsidRPr="00391C0C">
        <w:rPr>
          <w:vertAlign w:val="superscript"/>
        </w:rPr>
        <w:t>2-</w:t>
      </w:r>
      <w:r w:rsidRPr="00391C0C">
        <w:rPr>
          <w:vertAlign w:val="subscript"/>
        </w:rPr>
        <w:t>(</w:t>
      </w:r>
      <w:proofErr w:type="spellStart"/>
      <w:r w:rsidRPr="00391C0C">
        <w:rPr>
          <w:vertAlign w:val="subscript"/>
        </w:rPr>
        <w:t>aq</w:t>
      </w:r>
      <w:proofErr w:type="spellEnd"/>
      <w:r w:rsidRPr="00391C0C">
        <w:rPr>
          <w:vertAlign w:val="subscript"/>
        </w:rPr>
        <w:t>)</w:t>
      </w:r>
      <w:r>
        <w:tab/>
      </w:r>
      <w:r>
        <w:tab/>
      </w:r>
      <w:proofErr w:type="spellStart"/>
      <w:r>
        <w:t>pK</w:t>
      </w:r>
      <w:r>
        <w:rPr>
          <w:vertAlign w:val="subscript"/>
        </w:rPr>
        <w:t>S</w:t>
      </w:r>
      <w:proofErr w:type="spellEnd"/>
      <w:r>
        <w:t>= 7,21</w:t>
      </w:r>
    </w:p>
    <w:p w:rsidR="0078483F" w:rsidRPr="009B781F" w:rsidRDefault="0078483F" w:rsidP="0078483F">
      <w:pPr>
        <w:ind w:left="2127"/>
        <w:rPr>
          <w:u w:val="single"/>
        </w:rPr>
      </w:pPr>
      <w:r w:rsidRPr="00391C0C">
        <w:rPr>
          <w:u w:val="single"/>
        </w:rPr>
        <w:t xml:space="preserve">RG 3: </w:t>
      </w:r>
      <w:r w:rsidRPr="00391C0C">
        <w:t>HPO</w:t>
      </w:r>
      <w:r w:rsidRPr="00391C0C">
        <w:rPr>
          <w:vertAlign w:val="subscript"/>
        </w:rPr>
        <w:t>4</w:t>
      </w:r>
      <w:r w:rsidRPr="00391C0C">
        <w:rPr>
          <w:vertAlign w:val="superscript"/>
        </w:rPr>
        <w:t>2-</w:t>
      </w:r>
      <w:r w:rsidRPr="00391C0C">
        <w:rPr>
          <w:vertAlign w:val="subscript"/>
        </w:rPr>
        <w:t>(</w:t>
      </w:r>
      <w:proofErr w:type="spellStart"/>
      <w:r w:rsidRPr="00391C0C">
        <w:rPr>
          <w:vertAlign w:val="subscript"/>
        </w:rPr>
        <w:t>aq</w:t>
      </w:r>
      <w:proofErr w:type="spellEnd"/>
      <w:r w:rsidRPr="00391C0C">
        <w:rPr>
          <w:vertAlign w:val="subscript"/>
        </w:rPr>
        <w:t>)</w:t>
      </w:r>
      <w:r w:rsidRPr="00391C0C">
        <w:t xml:space="preserve"> + H</w:t>
      </w:r>
      <w:r w:rsidRPr="00391C0C">
        <w:rPr>
          <w:vertAlign w:val="subscript"/>
        </w:rPr>
        <w:t>2</w:t>
      </w:r>
      <w:r w:rsidRPr="00391C0C">
        <w:t>O</w:t>
      </w:r>
      <w:r w:rsidRPr="00391C0C">
        <w:rPr>
          <w:vertAlign w:val="subscript"/>
        </w:rPr>
        <w:t>(l)</w:t>
      </w:r>
      <w:r w:rsidRPr="00391C0C">
        <w:t xml:space="preserve"> ⇌ H</w:t>
      </w:r>
      <w:r w:rsidRPr="00391C0C">
        <w:rPr>
          <w:vertAlign w:val="subscript"/>
        </w:rPr>
        <w:t>3</w:t>
      </w:r>
      <w:r w:rsidRPr="00391C0C">
        <w:t>O</w:t>
      </w:r>
      <w:r w:rsidRPr="00391C0C">
        <w:rPr>
          <w:vertAlign w:val="superscript"/>
        </w:rPr>
        <w:t>+</w:t>
      </w:r>
      <w:r w:rsidRPr="00391C0C">
        <w:rPr>
          <w:vertAlign w:val="subscript"/>
        </w:rPr>
        <w:t>(</w:t>
      </w:r>
      <w:proofErr w:type="spellStart"/>
      <w:r w:rsidRPr="00391C0C">
        <w:rPr>
          <w:vertAlign w:val="subscript"/>
        </w:rPr>
        <w:t>aq</w:t>
      </w:r>
      <w:proofErr w:type="spellEnd"/>
      <w:r w:rsidRPr="00391C0C">
        <w:rPr>
          <w:vertAlign w:val="subscript"/>
        </w:rPr>
        <w:t>)</w:t>
      </w:r>
      <w:r w:rsidRPr="00391C0C">
        <w:t xml:space="preserve"> + PO</w:t>
      </w:r>
      <w:r w:rsidRPr="00391C0C">
        <w:rPr>
          <w:vertAlign w:val="subscript"/>
        </w:rPr>
        <w:t>4</w:t>
      </w:r>
      <w:r w:rsidRPr="00391C0C">
        <w:rPr>
          <w:vertAlign w:val="superscript"/>
        </w:rPr>
        <w:t>3-</w:t>
      </w:r>
      <w:r w:rsidRPr="00391C0C">
        <w:rPr>
          <w:vertAlign w:val="subscript"/>
        </w:rPr>
        <w:t>(</w:t>
      </w:r>
      <w:proofErr w:type="spellStart"/>
      <w:r w:rsidRPr="00391C0C">
        <w:rPr>
          <w:vertAlign w:val="subscript"/>
        </w:rPr>
        <w:t>aq</w:t>
      </w:r>
      <w:proofErr w:type="spellEnd"/>
      <w:r w:rsidRPr="00391C0C">
        <w:rPr>
          <w:vertAlign w:val="subscript"/>
        </w:rPr>
        <w:t>)</w:t>
      </w:r>
      <w:r>
        <w:tab/>
      </w:r>
      <w:r>
        <w:tab/>
      </w:r>
      <w:proofErr w:type="spellStart"/>
      <w:r>
        <w:t>pK</w:t>
      </w:r>
      <w:r>
        <w:rPr>
          <w:vertAlign w:val="subscript"/>
        </w:rPr>
        <w:t>S</w:t>
      </w:r>
      <w:proofErr w:type="spellEnd"/>
      <w:r>
        <w:t>=12,32</w:t>
      </w:r>
    </w:p>
    <w:p w:rsidR="0078483F" w:rsidRDefault="0078483F" w:rsidP="0078483F">
      <w:pPr>
        <w:ind w:left="2127"/>
      </w:pPr>
      <w:r>
        <w:t xml:space="preserve">Aufgrund der hohen Differenz zwischen den einzelnen </w:t>
      </w:r>
      <w:proofErr w:type="spellStart"/>
      <w:r w:rsidRPr="001027A9">
        <w:t>pK</w:t>
      </w:r>
      <w:r w:rsidRPr="001027A9">
        <w:rPr>
          <w:vertAlign w:val="subscript"/>
        </w:rPr>
        <w:t>S</w:t>
      </w:r>
      <w:proofErr w:type="spellEnd"/>
      <w:r>
        <w:t>-Werten kö</w:t>
      </w:r>
      <w:r>
        <w:t>n</w:t>
      </w:r>
      <w:r>
        <w:t>nen die Dissoziationsstufen einzeln betrachtet werden.</w:t>
      </w:r>
    </w:p>
    <w:p w:rsidR="0078483F" w:rsidRDefault="0078483F" w:rsidP="0078483F">
      <w:pPr>
        <w:ind w:left="2127"/>
      </w:pPr>
      <w:r>
        <w:t xml:space="preserve">Zu Beginn der Titration enthält die Lösung zum größten Teil </w:t>
      </w:r>
      <w:r w:rsidRPr="00391C0C">
        <w:t>H</w:t>
      </w:r>
      <w:r w:rsidRPr="00391C0C">
        <w:rPr>
          <w:vertAlign w:val="subscript"/>
        </w:rPr>
        <w:t>3</w:t>
      </w:r>
      <w:r w:rsidRPr="00391C0C">
        <w:t>PO</w:t>
      </w:r>
      <w:r w:rsidRPr="00391C0C">
        <w:rPr>
          <w:vertAlign w:val="subscript"/>
        </w:rPr>
        <w:t>4</w:t>
      </w:r>
      <w:r>
        <w:rPr>
          <w:vertAlign w:val="subscript"/>
        </w:rPr>
        <w:t xml:space="preserve"> </w:t>
      </w:r>
      <w:proofErr w:type="gramStart"/>
      <w:r>
        <w:t xml:space="preserve">und </w:t>
      </w:r>
      <m:oMath>
        <w:proofErr w:type="gramEnd"/>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Sup>
          <m:sSubSupPr>
            <m:ctrlPr>
              <w:rPr>
                <w:rFonts w:ascii="Cambria Math" w:hAnsi="Cambria Math"/>
              </w:rPr>
            </m:ctrlPr>
          </m:sSubSupPr>
          <m:e>
            <m:r>
              <m:rPr>
                <m:sty m:val="p"/>
              </m:rPr>
              <w:rPr>
                <w:rFonts w:ascii="Cambria Math" w:hAnsi="Cambria Math"/>
              </w:rPr>
              <m:t>PO</m:t>
            </m:r>
          </m:e>
          <m:sub>
            <m:r>
              <m:rPr>
                <m:sty m:val="p"/>
              </m:rPr>
              <w:rPr>
                <w:rFonts w:ascii="Cambria Math" w:hAnsi="Cambria Math"/>
              </w:rPr>
              <m:t>4</m:t>
            </m:r>
          </m:sub>
          <m:sup>
            <m:r>
              <m:rPr>
                <m:sty m:val="p"/>
              </m:rPr>
              <w:rPr>
                <w:rFonts w:ascii="Cambria Math" w:hAnsi="Cambria Math"/>
              </w:rPr>
              <m:t>-</m:t>
            </m:r>
          </m:sup>
        </m:sSubSup>
      </m:oMath>
      <w:r>
        <w:t xml:space="preserve">. Durch Natronlauge-Zugabe werden die Phosphorsäure-Moleküle in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Sup>
          <m:sSubSupPr>
            <m:ctrlPr>
              <w:rPr>
                <w:rFonts w:ascii="Cambria Math" w:hAnsi="Cambria Math"/>
              </w:rPr>
            </m:ctrlPr>
          </m:sSubSupPr>
          <m:e>
            <m:r>
              <m:rPr>
                <m:sty m:val="p"/>
              </m:rPr>
              <w:rPr>
                <w:rFonts w:ascii="Cambria Math" w:hAnsi="Cambria Math"/>
              </w:rPr>
              <m:t>PO</m:t>
            </m:r>
          </m:e>
          <m:sub>
            <m:r>
              <m:rPr>
                <m:sty m:val="p"/>
              </m:rPr>
              <w:rPr>
                <w:rFonts w:ascii="Cambria Math" w:hAnsi="Cambria Math"/>
              </w:rPr>
              <m:t>4</m:t>
            </m:r>
          </m:sub>
          <m:sup>
            <m:r>
              <m:rPr>
                <m:sty m:val="p"/>
              </m:rPr>
              <w:rPr>
                <w:rFonts w:ascii="Cambria Math" w:hAnsi="Cambria Math"/>
              </w:rPr>
              <m:t>-</m:t>
            </m:r>
          </m:sup>
        </m:sSubSup>
      </m:oMath>
      <w:r>
        <w:t xml:space="preserve">-Ionen überführt, bis beim ersten </w:t>
      </w:r>
      <w:proofErr w:type="spellStart"/>
      <w:r>
        <w:t>Äquivalenzpunkt</w:t>
      </w:r>
      <w:proofErr w:type="spellEnd"/>
      <w:r>
        <w:t xml:space="preserve"> (ÄP) nur noch </w:t>
      </w:r>
      <w:r w:rsidRPr="00391C0C">
        <w:t>H</w:t>
      </w:r>
      <w:r w:rsidRPr="00391C0C">
        <w:rPr>
          <w:vertAlign w:val="subscript"/>
        </w:rPr>
        <w:t>2</w:t>
      </w:r>
      <w:r w:rsidRPr="00391C0C">
        <w:t>PO</w:t>
      </w:r>
      <w:r w:rsidRPr="00391C0C">
        <w:rPr>
          <w:vertAlign w:val="subscript"/>
        </w:rPr>
        <w:t>4</w:t>
      </w:r>
      <w:r>
        <w:rPr>
          <w:vertAlign w:val="superscript"/>
        </w:rPr>
        <w:t>-</w:t>
      </w:r>
      <w:r w:rsidRPr="002708D1">
        <w:t>—</w:t>
      </w:r>
      <w:r>
        <w:t xml:space="preserve">Ionen vorliegen. Dies kommt dadurch zustande, weil der </w:t>
      </w:r>
      <w:proofErr w:type="spellStart"/>
      <w:r>
        <w:t>pK</w:t>
      </w:r>
      <w:r>
        <w:rPr>
          <w:vertAlign w:val="subscript"/>
        </w:rPr>
        <w:t>S</w:t>
      </w:r>
      <w:proofErr w:type="spellEnd"/>
      <w:r>
        <w:t xml:space="preserve">-Wert der Phosphorsäure so gering ist, dissoziiert diese vollständig zu </w:t>
      </w:r>
      <w:proofErr w:type="spellStart"/>
      <w:r>
        <w:t>Dihydrogenphospat</w:t>
      </w:r>
      <w:proofErr w:type="spellEnd"/>
      <w:r>
        <w:t xml:space="preserve">-Ionen. Beim zweiten ÄP liegen nur noch </w:t>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Sup>
          <m:sSubSupPr>
            <m:ctrlPr>
              <w:rPr>
                <w:rFonts w:ascii="Cambria Math" w:hAnsi="Cambria Math"/>
              </w:rPr>
            </m:ctrlPr>
          </m:sSubSupPr>
          <m:e>
            <m:r>
              <m:rPr>
                <m:sty m:val="p"/>
              </m:rPr>
              <w:rPr>
                <w:rFonts w:ascii="Cambria Math" w:hAnsi="Cambria Math"/>
              </w:rPr>
              <m:t>PO</m:t>
            </m:r>
          </m:e>
          <m:sub>
            <m:r>
              <m:rPr>
                <m:sty m:val="p"/>
              </m:rPr>
              <w:rPr>
                <w:rFonts w:ascii="Cambria Math" w:hAnsi="Cambria Math"/>
              </w:rPr>
              <m:t>4</m:t>
            </m:r>
          </m:sub>
          <m:sup>
            <m:r>
              <m:rPr>
                <m:sty m:val="p"/>
              </m:rPr>
              <w:rPr>
                <w:rFonts w:ascii="Cambria Math" w:hAnsi="Cambria Math"/>
              </w:rPr>
              <m:t>-</m:t>
            </m:r>
          </m:sup>
        </m:sSubSup>
      </m:oMath>
      <w:r>
        <w:rPr>
          <w:rFonts w:eastAsiaTheme="minorEastAsia"/>
        </w:rPr>
        <w:t>-</w:t>
      </w:r>
      <w:r>
        <w:t xml:space="preserve">Ionen vor, am dritten ÄP nur noch </w:t>
      </w:r>
      <m:oMath>
        <m:sSubSup>
          <m:sSubSupPr>
            <m:ctrlPr>
              <w:rPr>
                <w:rFonts w:ascii="Cambria Math" w:hAnsi="Cambria Math"/>
              </w:rPr>
            </m:ctrlPr>
          </m:sSubSupPr>
          <m:e>
            <m:r>
              <m:rPr>
                <m:sty m:val="p"/>
              </m:rPr>
              <w:rPr>
                <w:rFonts w:ascii="Cambria Math" w:hAnsi="Cambria Math"/>
              </w:rPr>
              <m:t>PO</m:t>
            </m:r>
          </m:e>
          <m:sub>
            <m:r>
              <m:rPr>
                <m:sty m:val="p"/>
              </m:rPr>
              <w:rPr>
                <w:rFonts w:ascii="Cambria Math" w:hAnsi="Cambria Math"/>
              </w:rPr>
              <m:t>4</m:t>
            </m:r>
          </m:sub>
          <m:sup>
            <m:r>
              <m:rPr>
                <m:sty m:val="p"/>
              </m:rPr>
              <w:rPr>
                <w:rFonts w:ascii="Cambria Math" w:hAnsi="Cambria Math"/>
              </w:rPr>
              <m:t>3-</m:t>
            </m:r>
          </m:sup>
        </m:sSubSup>
      </m:oMath>
      <w:r>
        <w:t>-Ionen. Mit den erhaltenen We</w:t>
      </w:r>
      <w:r>
        <w:t>r</w:t>
      </w:r>
      <w:r>
        <w:t xml:space="preserve">ten ist es nun möglich den Gehalt an Phosphorsäure zu ermitteln, dafür wird der erste </w:t>
      </w:r>
      <w:proofErr w:type="spellStart"/>
      <w:r>
        <w:t>Protolyseschritt</w:t>
      </w:r>
      <w:proofErr w:type="spellEnd"/>
      <w:r>
        <w:t xml:space="preserve"> (RG 1) betrachtet. Um die </w:t>
      </w:r>
      <w:proofErr w:type="spellStart"/>
      <w:r>
        <w:t>ÄP´s</w:t>
      </w:r>
      <w:proofErr w:type="spellEnd"/>
      <w:r>
        <w:t xml:space="preserve"> ablesen zu können werden diese mithilfe der Dreigeraden-Methode bestimmt. Durch die Extrapolation wurden für die ersten beiden ÄP folgende Werte erha</w:t>
      </w:r>
      <w:r>
        <w:t>l</w:t>
      </w:r>
      <w:r>
        <w:t>ten:</w:t>
      </w:r>
    </w:p>
    <w:tbl>
      <w:tblPr>
        <w:tblStyle w:val="Tabellengitternetz"/>
        <w:tblW w:w="0" w:type="auto"/>
        <w:tblInd w:w="2235" w:type="dxa"/>
        <w:tblBorders>
          <w:insideH w:val="none" w:sz="0" w:space="0" w:color="auto"/>
          <w:insideV w:val="none" w:sz="0" w:space="0" w:color="auto"/>
        </w:tblBorders>
        <w:tblLook w:val="04A0"/>
      </w:tblPr>
      <w:tblGrid>
        <w:gridCol w:w="2279"/>
        <w:gridCol w:w="2387"/>
        <w:gridCol w:w="2387"/>
      </w:tblGrid>
      <w:tr w:rsidR="0078483F" w:rsidTr="00B048C9">
        <w:tc>
          <w:tcPr>
            <w:tcW w:w="2279" w:type="dxa"/>
          </w:tcPr>
          <w:p w:rsidR="0078483F" w:rsidRDefault="0078483F" w:rsidP="00B048C9">
            <w:pPr>
              <w:jc w:val="center"/>
            </w:pPr>
          </w:p>
        </w:tc>
        <w:tc>
          <w:tcPr>
            <w:tcW w:w="2387" w:type="dxa"/>
          </w:tcPr>
          <w:p w:rsidR="0078483F" w:rsidRDefault="0078483F" w:rsidP="00B048C9">
            <w:pPr>
              <w:jc w:val="center"/>
            </w:pPr>
            <w:r>
              <w:t>1.ÄP</w:t>
            </w:r>
          </w:p>
        </w:tc>
        <w:tc>
          <w:tcPr>
            <w:tcW w:w="2387" w:type="dxa"/>
          </w:tcPr>
          <w:p w:rsidR="0078483F" w:rsidRDefault="0078483F" w:rsidP="00B048C9">
            <w:pPr>
              <w:jc w:val="center"/>
            </w:pPr>
            <w:r>
              <w:t>2.ÄP</w:t>
            </w:r>
          </w:p>
        </w:tc>
      </w:tr>
      <w:tr w:rsidR="0078483F" w:rsidTr="00B048C9">
        <w:tc>
          <w:tcPr>
            <w:tcW w:w="2279" w:type="dxa"/>
          </w:tcPr>
          <w:p w:rsidR="0078483F" w:rsidRDefault="0078483F" w:rsidP="00B048C9">
            <w:pPr>
              <w:jc w:val="center"/>
            </w:pPr>
            <w:r>
              <w:t>V(</w:t>
            </w:r>
            <w:proofErr w:type="spellStart"/>
            <w:r>
              <w:t>NaOH</w:t>
            </w:r>
            <w:proofErr w:type="spellEnd"/>
            <w:r>
              <w:t>) [ml]</w:t>
            </w:r>
          </w:p>
        </w:tc>
        <w:tc>
          <w:tcPr>
            <w:tcW w:w="2387" w:type="dxa"/>
          </w:tcPr>
          <w:p w:rsidR="0078483F" w:rsidRDefault="0078483F" w:rsidP="00B048C9">
            <w:pPr>
              <w:jc w:val="center"/>
            </w:pPr>
            <w:r>
              <w:t>4,7</w:t>
            </w:r>
          </w:p>
        </w:tc>
        <w:tc>
          <w:tcPr>
            <w:tcW w:w="2387" w:type="dxa"/>
          </w:tcPr>
          <w:p w:rsidR="0078483F" w:rsidRDefault="0078483F" w:rsidP="00B048C9">
            <w:pPr>
              <w:jc w:val="center"/>
            </w:pPr>
            <w:r>
              <w:t>10,2</w:t>
            </w:r>
          </w:p>
        </w:tc>
      </w:tr>
      <w:tr w:rsidR="0078483F" w:rsidTr="00B048C9">
        <w:tc>
          <w:tcPr>
            <w:tcW w:w="2279" w:type="dxa"/>
          </w:tcPr>
          <w:p w:rsidR="0078483F" w:rsidRDefault="0078483F" w:rsidP="00B048C9">
            <w:pPr>
              <w:jc w:val="center"/>
            </w:pPr>
            <w:r>
              <w:t>pH-Wert</w:t>
            </w:r>
          </w:p>
        </w:tc>
        <w:tc>
          <w:tcPr>
            <w:tcW w:w="2387" w:type="dxa"/>
          </w:tcPr>
          <w:p w:rsidR="0078483F" w:rsidRDefault="0078483F" w:rsidP="00B048C9">
            <w:pPr>
              <w:jc w:val="center"/>
            </w:pPr>
            <w:r>
              <w:t>4,4</w:t>
            </w:r>
          </w:p>
        </w:tc>
        <w:tc>
          <w:tcPr>
            <w:tcW w:w="2387" w:type="dxa"/>
          </w:tcPr>
          <w:p w:rsidR="0078483F" w:rsidRDefault="0078483F" w:rsidP="00B048C9">
            <w:pPr>
              <w:jc w:val="center"/>
            </w:pPr>
            <w:r>
              <w:t>8,7</w:t>
            </w:r>
          </w:p>
        </w:tc>
      </w:tr>
    </w:tbl>
    <w:p w:rsidR="0078483F" w:rsidRDefault="0078483F" w:rsidP="0078483F">
      <w:pPr>
        <w:ind w:left="2127"/>
      </w:pPr>
    </w:p>
    <w:p w:rsidR="0078483F" w:rsidRDefault="0078483F" w:rsidP="0078483F">
      <w:pPr>
        <w:ind w:left="2127"/>
      </w:pPr>
      <w:r>
        <w:t xml:space="preserve">Am </w:t>
      </w:r>
      <w:proofErr w:type="spellStart"/>
      <w:r>
        <w:t>Äquivalenzpunkt</w:t>
      </w:r>
      <w:proofErr w:type="spellEnd"/>
      <w:r>
        <w:t xml:space="preserve"> liegen äquimolare Stoffmengen der Säure und der Base vor, deshalb gilt dort:</w:t>
      </w:r>
    </w:p>
    <w:p w:rsidR="0078483F" w:rsidRDefault="0078483F" w:rsidP="0078483F">
      <w:pPr>
        <w:ind w:left="2127"/>
        <w:rPr>
          <w:rFonts w:eastAsiaTheme="minorEastAsia"/>
        </w:rPr>
      </w:pPr>
      <m:oMathPara>
        <m:oMath>
          <m:sSub>
            <m:sSubPr>
              <m:ctrlPr>
                <w:rPr>
                  <w:rFonts w:ascii="Cambria Math" w:hAnsi="Cambria Math"/>
                  <w:i/>
                </w:rPr>
              </m:ctrlPr>
            </m:sSubPr>
            <m:e>
              <m:r>
                <w:rPr>
                  <w:rFonts w:ascii="Cambria Math" w:hAnsi="Cambria Math"/>
                </w:rPr>
                <m:t>n</m:t>
              </m:r>
            </m:e>
            <m:sub>
              <m:r>
                <w:rPr>
                  <w:rFonts w:ascii="Cambria Math" w:hAnsi="Cambria Math"/>
                </w:rPr>
                <m:t>Säure</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Base</m:t>
              </m:r>
            </m:sub>
          </m:sSub>
        </m:oMath>
      </m:oMathPara>
    </w:p>
    <w:p w:rsidR="0078483F" w:rsidRDefault="0078483F" w:rsidP="0078483F">
      <w:pPr>
        <w:ind w:left="2127"/>
      </w:pPr>
      <w:r>
        <w:t>Die Formel für die Stoffmengenkonzentration wird nach der Stoffmenge umgestellt und dadurch ersetzt.</w:t>
      </w:r>
    </w:p>
    <w:p w:rsidR="0078483F" w:rsidRDefault="0078483F" w:rsidP="0078483F">
      <w:pPr>
        <w:ind w:left="2127"/>
      </w:pPr>
      <w:r>
        <w:t xml:space="preserve">Für die Berechnung wird folgende Formel verwendet: </w:t>
      </w:r>
    </w:p>
    <w:p w:rsidR="0078483F" w:rsidRPr="00AA6C94" w:rsidRDefault="0078483F" w:rsidP="0078483F">
      <w:pPr>
        <w:ind w:left="2127"/>
        <w:rPr>
          <w:rFonts w:eastAsiaTheme="minorEastAsia"/>
        </w:rPr>
      </w:pPr>
      <m:oMathPara>
        <m:oMath>
          <m:sSub>
            <m:sSubPr>
              <m:ctrlPr>
                <w:rPr>
                  <w:rFonts w:ascii="Cambria Math" w:hAnsi="Cambria Math"/>
                  <w:i/>
                </w:rPr>
              </m:ctrlPr>
            </m:sSubPr>
            <m:e>
              <m:r>
                <w:rPr>
                  <w:rFonts w:ascii="Cambria Math" w:hAnsi="Cambria Math"/>
                </w:rPr>
                <m:t>c</m:t>
              </m:r>
            </m:e>
            <m:sub>
              <m:r>
                <w:rPr>
                  <w:rFonts w:ascii="Cambria Math" w:hAnsi="Cambria Math"/>
                </w:rPr>
                <m:t xml:space="preserve">Säure </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Säure</m:t>
              </m:r>
            </m:sub>
          </m:sSub>
          <m:r>
            <w:rPr>
              <w:rFonts w:ascii="Cambria Math" w:eastAsiaTheme="minorEastAsia"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 xml:space="preserve">Base </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Base</m:t>
              </m:r>
            </m:sub>
          </m:sSub>
        </m:oMath>
      </m:oMathPara>
    </w:p>
    <w:p w:rsidR="0078483F" w:rsidRDefault="0078483F" w:rsidP="0078483F">
      <w:pPr>
        <w:ind w:left="2127"/>
      </w:pPr>
      <w:r>
        <w:t>Die Formel wird nach der Konzentration der Säure umgestellt, so wird folgendes erhalten:</w:t>
      </w:r>
    </w:p>
    <w:p w:rsidR="0078483F" w:rsidRPr="00AA6C94" w:rsidRDefault="0078483F" w:rsidP="0078483F">
      <w:pPr>
        <w:ind w:left="2127"/>
        <w:rPr>
          <w:rFonts w:eastAsiaTheme="minorEastAsia"/>
        </w:rPr>
      </w:pPr>
      <m:oMathPara>
        <m:oMath>
          <m:sSub>
            <m:sSubPr>
              <m:ctrlPr>
                <w:rPr>
                  <w:rFonts w:ascii="Cambria Math" w:hAnsi="Cambria Math"/>
                  <w:i/>
                </w:rPr>
              </m:ctrlPr>
            </m:sSubPr>
            <m:e>
              <m:r>
                <w:rPr>
                  <w:rFonts w:ascii="Cambria Math" w:hAnsi="Cambria Math"/>
                </w:rPr>
                <m:t>c</m:t>
              </m:r>
            </m:e>
            <m:sub>
              <m:r>
                <w:rPr>
                  <w:rFonts w:ascii="Cambria Math" w:hAnsi="Cambria Math"/>
                </w:rPr>
                <m:t xml:space="preserve">Säure </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 xml:space="preserve">Base </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Base</m:t>
                  </m:r>
                </m:sub>
              </m:sSub>
            </m:num>
            <m:den>
              <m:sSub>
                <m:sSubPr>
                  <m:ctrlPr>
                    <w:rPr>
                      <w:rFonts w:ascii="Cambria Math" w:hAnsi="Cambria Math"/>
                      <w:i/>
                    </w:rPr>
                  </m:ctrlPr>
                </m:sSubPr>
                <m:e>
                  <m:r>
                    <w:rPr>
                      <w:rFonts w:ascii="Cambria Math" w:hAnsi="Cambria Math"/>
                    </w:rPr>
                    <m:t>V</m:t>
                  </m:r>
                </m:e>
                <m:sub>
                  <m:r>
                    <w:rPr>
                      <w:rFonts w:ascii="Cambria Math" w:hAnsi="Cambria Math"/>
                    </w:rPr>
                    <m:t>Säure</m:t>
                  </m:r>
                </m:sub>
              </m:sSub>
            </m:den>
          </m:f>
        </m:oMath>
      </m:oMathPara>
    </w:p>
    <w:p w:rsidR="0078483F" w:rsidRDefault="0078483F" w:rsidP="0078483F">
      <w:pPr>
        <w:ind w:left="2127"/>
      </w:pPr>
      <w:r>
        <w:t>Nun werden die Werte in die Formel eingesetzt:</w:t>
      </w:r>
    </w:p>
    <w:p w:rsidR="0078483F" w:rsidRDefault="0078483F" w:rsidP="0078483F">
      <w:pPr>
        <w:ind w:left="2127"/>
        <w:rPr>
          <w:rFonts w:eastAsiaTheme="minorEastAsia"/>
        </w:rPr>
      </w:pPr>
      <m:oMathPara>
        <m:oMath>
          <m:sSub>
            <m:sSubPr>
              <m:ctrlPr>
                <w:rPr>
                  <w:rFonts w:ascii="Cambria Math" w:hAnsi="Cambria Math"/>
                  <w:i/>
                </w:rPr>
              </m:ctrlPr>
            </m:sSubPr>
            <m:e>
              <m:r>
                <w:rPr>
                  <w:rFonts w:ascii="Cambria Math" w:hAnsi="Cambria Math"/>
                </w:rPr>
                <m:t>c</m:t>
              </m:r>
            </m:e>
            <m:sub>
              <m:r>
                <w:rPr>
                  <w:rFonts w:ascii="Cambria Math" w:hAnsi="Cambria Math"/>
                </w:rPr>
                <m:t xml:space="preserve">Säure </m:t>
              </m:r>
            </m:sub>
          </m:sSub>
          <m:r>
            <w:rPr>
              <w:rFonts w:ascii="Cambria Math" w:hAnsi="Cambria Math"/>
            </w:rPr>
            <m:t xml:space="preserve">= </m:t>
          </m:r>
          <m:f>
            <m:fPr>
              <m:ctrlPr>
                <w:rPr>
                  <w:rFonts w:ascii="Cambria Math" w:hAnsi="Cambria Math"/>
                  <w:i/>
                </w:rPr>
              </m:ctrlPr>
            </m:fPr>
            <m:num>
              <m:r>
                <w:rPr>
                  <w:rFonts w:ascii="Cambria Math" w:hAnsi="Cambria Math"/>
                </w:rPr>
                <m:t xml:space="preserve">0,1 </m:t>
              </m:r>
              <m:f>
                <m:fPr>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r>
                <w:rPr>
                  <w:rFonts w:ascii="Cambria Math" w:hAnsi="Cambria Math"/>
                </w:rPr>
                <m:t xml:space="preserve">∙0,0047 </m:t>
              </m:r>
              <m:r>
                <m:rPr>
                  <m:sty m:val="p"/>
                </m:rPr>
                <w:rPr>
                  <w:rFonts w:ascii="Cambria Math" w:hAnsi="Cambria Math"/>
                </w:rPr>
                <m:t>L</m:t>
              </m:r>
            </m:num>
            <m:den>
              <m:r>
                <w:rPr>
                  <w:rFonts w:ascii="Cambria Math" w:hAnsi="Cambria Math"/>
                </w:rPr>
                <m:t xml:space="preserve">0,100 </m:t>
              </m:r>
              <m:r>
                <m:rPr>
                  <m:sty m:val="p"/>
                </m:rPr>
                <w:rPr>
                  <w:rFonts w:ascii="Cambria Math" w:hAnsi="Cambria Math"/>
                </w:rPr>
                <m:t>L</m:t>
              </m:r>
            </m:den>
          </m:f>
          <m:r>
            <w:rPr>
              <w:rFonts w:ascii="Cambria Math" w:hAnsi="Cambria Math"/>
            </w:rPr>
            <m:t>=4,7 ∙</m:t>
          </m:r>
          <m:sSup>
            <m:sSupPr>
              <m:ctrlPr>
                <w:rPr>
                  <w:rFonts w:ascii="Cambria Math" w:hAnsi="Cambria Math"/>
                  <w:i/>
                </w:rPr>
              </m:ctrlPr>
            </m:sSupPr>
            <m:e>
              <m:r>
                <w:rPr>
                  <w:rFonts w:ascii="Cambria Math" w:hAnsi="Cambria Math"/>
                </w:rPr>
                <m:t>10</m:t>
              </m:r>
            </m:e>
            <m:sup>
              <m:r>
                <w:rPr>
                  <w:rFonts w:ascii="Cambria Math" w:hAnsi="Cambria Math"/>
                </w:rPr>
                <m:t>-3</m:t>
              </m:r>
            </m:sup>
          </m:sSup>
          <m:f>
            <m:fPr>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r>
            <w:rPr>
              <w:rFonts w:ascii="Cambria Math" w:eastAsiaTheme="minorEastAsia" w:hAnsi="Cambria Math"/>
            </w:rPr>
            <m:t xml:space="preserve">=34,7 </m:t>
          </m:r>
          <m:f>
            <m:fPr>
              <m:ctrlPr>
                <w:rPr>
                  <w:rFonts w:ascii="Cambria Math" w:hAnsi="Cambria Math"/>
                </w:rPr>
              </m:ctrlPr>
            </m:fPr>
            <m:num>
              <m:r>
                <m:rPr>
                  <m:sty m:val="p"/>
                </m:rPr>
                <w:rPr>
                  <w:rFonts w:ascii="Cambria Math" w:hAnsi="Cambria Math"/>
                </w:rPr>
                <m:t>mmol</m:t>
              </m:r>
            </m:num>
            <m:den>
              <m:r>
                <m:rPr>
                  <m:sty m:val="p"/>
                </m:rPr>
                <w:rPr>
                  <w:rFonts w:ascii="Cambria Math" w:hAnsi="Cambria Math"/>
                </w:rPr>
                <m:t>L</m:t>
              </m:r>
            </m:den>
          </m:f>
        </m:oMath>
      </m:oMathPara>
    </w:p>
    <w:p w:rsidR="0078483F" w:rsidRDefault="0078483F" w:rsidP="0078483F">
      <w:pPr>
        <w:ind w:left="2127"/>
      </w:pPr>
      <w:r>
        <w:t>Nun wird mit der molaren Masse der Phosphorsäure der Wert gemäß der nachfolgenden Gleichung verrechnet, um die exakte Menge zu erhalten.</w:t>
      </w:r>
    </w:p>
    <w:p w:rsidR="0078483F" w:rsidRDefault="0078483F" w:rsidP="0078483F">
      <w:pPr>
        <w:ind w:left="2127"/>
        <w:rPr>
          <w:rFonts w:eastAsiaTheme="minorEastAsia"/>
        </w:rPr>
      </w:pPr>
      <m:oMathPara>
        <m:oMath>
          <m:r>
            <w:rPr>
              <w:rFonts w:ascii="Cambria Math" w:hAnsi="Cambria Math"/>
            </w:rPr>
            <m:t xml:space="preserve">m= </m:t>
          </m:r>
          <m:sSub>
            <m:sSubPr>
              <m:ctrlPr>
                <w:rPr>
                  <w:rFonts w:ascii="Cambria Math" w:hAnsi="Cambria Math"/>
                  <w:i/>
                </w:rPr>
              </m:ctrlPr>
            </m:sSubPr>
            <m:e>
              <m:r>
                <w:rPr>
                  <w:rFonts w:ascii="Cambria Math" w:hAnsi="Cambria Math"/>
                </w:rPr>
                <m:t>c</m:t>
              </m:r>
            </m:e>
            <m:sub>
              <m:r>
                <w:rPr>
                  <w:rFonts w:ascii="Cambria Math" w:hAnsi="Cambria Math"/>
                </w:rPr>
                <m:t xml:space="preserve">Säure </m:t>
              </m:r>
            </m:sub>
          </m:sSub>
          <m:r>
            <w:rPr>
              <w:rFonts w:ascii="Cambria Math" w:hAnsi="Cambria Math"/>
            </w:rPr>
            <m:t>∙M</m:t>
          </m:r>
          <m:r>
            <w:rPr>
              <w:rFonts w:ascii="Cambria Math" w:eastAsiaTheme="minorEastAsia" w:hAnsi="Cambria Math"/>
            </w:rPr>
            <m:t xml:space="preserve">= </m:t>
          </m:r>
          <m:r>
            <w:rPr>
              <w:rFonts w:ascii="Cambria Math" w:hAnsi="Cambria Math"/>
            </w:rPr>
            <m:t>4,7 ∙</m:t>
          </m:r>
          <m:sSup>
            <m:sSupPr>
              <m:ctrlPr>
                <w:rPr>
                  <w:rFonts w:ascii="Cambria Math" w:hAnsi="Cambria Math"/>
                  <w:i/>
                </w:rPr>
              </m:ctrlPr>
            </m:sSupPr>
            <m:e>
              <m:r>
                <w:rPr>
                  <w:rFonts w:ascii="Cambria Math" w:hAnsi="Cambria Math"/>
                </w:rPr>
                <m:t>10</m:t>
              </m:r>
            </m:e>
            <m:sup>
              <m:r>
                <w:rPr>
                  <w:rFonts w:ascii="Cambria Math" w:hAnsi="Cambria Math"/>
                </w:rPr>
                <m:t>-3</m:t>
              </m:r>
            </m:sup>
          </m:sSup>
          <m:f>
            <m:fPr>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r>
            <w:rPr>
              <w:rFonts w:ascii="Cambria Math" w:eastAsiaTheme="minorEastAsia" w:hAnsi="Cambria Math"/>
            </w:rPr>
            <m:t xml:space="preserve"> ∙98 </m:t>
          </m:r>
          <m:f>
            <m:fPr>
              <m:ctrlPr>
                <w:rPr>
                  <w:rFonts w:ascii="Cambria Math" w:eastAsiaTheme="minorEastAsia" w:hAnsi="Cambria Math"/>
                </w:rPr>
              </m:ctrlPr>
            </m:fPr>
            <m:num>
              <m:r>
                <m:rPr>
                  <m:sty m:val="p"/>
                </m:rPr>
                <w:rPr>
                  <w:rFonts w:ascii="Cambria Math" w:eastAsiaTheme="minorEastAsia" w:hAnsi="Cambria Math"/>
                </w:rPr>
                <m:t>g</m:t>
              </m:r>
            </m:num>
            <m:den>
              <m:r>
                <m:rPr>
                  <m:sty m:val="p"/>
                </m:rPr>
                <w:rPr>
                  <w:rFonts w:ascii="Cambria Math" w:eastAsiaTheme="minorEastAsia" w:hAnsi="Cambria Math"/>
                </w:rPr>
                <m:t>mol</m:t>
              </m:r>
            </m:den>
          </m:f>
          <m:r>
            <m:rPr>
              <m:sty m:val="p"/>
            </m:rPr>
            <w:rPr>
              <w:rFonts w:ascii="Cambria Math" w:eastAsiaTheme="minorEastAsia" w:hAnsi="Cambria Math"/>
            </w:rPr>
            <m:t xml:space="preserve">=0,461 </m:t>
          </m:r>
          <m:f>
            <m:fPr>
              <m:ctrlPr>
                <w:rPr>
                  <w:rFonts w:ascii="Cambria Math" w:eastAsiaTheme="minorEastAsia" w:hAnsi="Cambria Math"/>
                </w:rPr>
              </m:ctrlPr>
            </m:fPr>
            <m:num>
              <m:r>
                <m:rPr>
                  <m:sty m:val="p"/>
                </m:rPr>
                <w:rPr>
                  <w:rFonts w:ascii="Cambria Math" w:eastAsiaTheme="minorEastAsia" w:hAnsi="Cambria Math"/>
                </w:rPr>
                <m:t>g</m:t>
              </m:r>
            </m:num>
            <m:den>
              <m:r>
                <m:rPr>
                  <m:sty m:val="p"/>
                </m:rPr>
                <w:rPr>
                  <w:rFonts w:ascii="Cambria Math" w:eastAsiaTheme="minorEastAsia" w:hAnsi="Cambria Math"/>
                </w:rPr>
                <m:t>L</m:t>
              </m:r>
            </m:den>
          </m:f>
          <m:r>
            <m:rPr>
              <m:sty m:val="p"/>
            </m:rPr>
            <w:rPr>
              <w:rFonts w:ascii="Cambria Math" w:eastAsiaTheme="minorEastAsia" w:hAnsi="Cambria Math"/>
            </w:rPr>
            <m:t xml:space="preserve">=461 </m:t>
          </m:r>
          <m:f>
            <m:fPr>
              <m:ctrlPr>
                <w:rPr>
                  <w:rFonts w:ascii="Cambria Math" w:eastAsiaTheme="minorEastAsia" w:hAnsi="Cambria Math"/>
                </w:rPr>
              </m:ctrlPr>
            </m:fPr>
            <m:num>
              <m:r>
                <m:rPr>
                  <m:sty m:val="p"/>
                </m:rPr>
                <w:rPr>
                  <w:rFonts w:ascii="Cambria Math" w:eastAsiaTheme="minorEastAsia" w:hAnsi="Cambria Math"/>
                </w:rPr>
                <m:t>mg</m:t>
              </m:r>
            </m:num>
            <m:den>
              <m:r>
                <m:rPr>
                  <m:sty m:val="p"/>
                </m:rPr>
                <w:rPr>
                  <w:rFonts w:ascii="Cambria Math" w:eastAsiaTheme="minorEastAsia" w:hAnsi="Cambria Math"/>
                </w:rPr>
                <m:t>L</m:t>
              </m:r>
            </m:den>
          </m:f>
        </m:oMath>
      </m:oMathPara>
    </w:p>
    <w:p w:rsidR="0078483F" w:rsidRPr="00F42B1C" w:rsidRDefault="0078483F" w:rsidP="0078483F">
      <w:pPr>
        <w:ind w:left="2127"/>
        <w:rPr>
          <w:rFonts w:eastAsiaTheme="minorEastAsia"/>
        </w:rPr>
      </w:pPr>
      <w:r w:rsidRPr="00F42B1C">
        <w:rPr>
          <w:rFonts w:eastAsiaTheme="minorEastAsia"/>
          <w:u w:val="single"/>
        </w:rPr>
        <w:t>Fehlerbetrachtung:</w:t>
      </w:r>
      <w:r>
        <w:rPr>
          <w:rFonts w:eastAsiaTheme="minorEastAsia"/>
        </w:rPr>
        <w:t xml:space="preserve"> Es werden der absolute und relative Fehler berec</w:t>
      </w:r>
      <w:r>
        <w:rPr>
          <w:rFonts w:eastAsiaTheme="minorEastAsia"/>
        </w:rPr>
        <w:t>h</w:t>
      </w:r>
      <w:r>
        <w:rPr>
          <w:rFonts w:eastAsiaTheme="minorEastAsia"/>
        </w:rPr>
        <w:t>net.</w:t>
      </w:r>
    </w:p>
    <w:p w:rsidR="0078483F" w:rsidRDefault="0078483F" w:rsidP="0078483F">
      <w:pPr>
        <w:ind w:left="2127"/>
        <w:rPr>
          <w:rFonts w:eastAsiaTheme="minorEastAsia"/>
        </w:rPr>
      </w:pPr>
      <w:r w:rsidRPr="00F42B1C">
        <w:rPr>
          <w:rFonts w:eastAsiaTheme="minorEastAsia"/>
        </w:rPr>
        <w:t>Literaturwert:</w:t>
      </w:r>
      <w:r>
        <w:rPr>
          <w:rFonts w:eastAsiaTheme="minorEastAsia"/>
        </w:rPr>
        <w:t xml:space="preserve"> max. 700 mg/L</w:t>
      </w:r>
    </w:p>
    <w:p w:rsidR="0078483F" w:rsidRPr="00CC42C7" w:rsidRDefault="0078483F" w:rsidP="0078483F">
      <w:pPr>
        <w:ind w:left="2127"/>
        <w:rPr>
          <w:rFonts w:eastAsiaTheme="minorEastAsia"/>
        </w:rPr>
      </w:pPr>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x</m:t>
                  </m:r>
                </m:e>
                <m:sub>
                  <m:r>
                    <w:rPr>
                      <w:rFonts w:ascii="Cambria Math" w:hAnsi="Cambria Math"/>
                    </w:rPr>
                    <m:t>abs</m:t>
                  </m:r>
                </m:sub>
              </m:sSub>
            </m:e>
          </m:acc>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 xml:space="preserve">Messwert </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Literatur</m:t>
                  </m:r>
                </m:sub>
              </m:sSub>
            </m:e>
          </m:d>
          <m:r>
            <w:rPr>
              <w:rFonts w:ascii="Cambria Math" w:hAnsi="Cambria Math"/>
            </w:rPr>
            <m:t xml:space="preserve">= </m:t>
          </m:r>
          <m:d>
            <m:dPr>
              <m:begChr m:val="|"/>
              <m:endChr m:val="|"/>
              <m:ctrlPr>
                <w:rPr>
                  <w:rFonts w:ascii="Cambria Math" w:hAnsi="Cambria Math"/>
                  <w:i/>
                </w:rPr>
              </m:ctrlPr>
            </m:dPr>
            <m:e>
              <m:r>
                <w:rPr>
                  <w:rFonts w:ascii="Cambria Math" w:hAnsi="Cambria Math"/>
                </w:rPr>
                <m:t xml:space="preserve">461- 700 </m:t>
              </m:r>
            </m:e>
          </m:d>
          <m:r>
            <w:rPr>
              <w:rFonts w:ascii="Cambria Math" w:eastAsiaTheme="minorEastAsia" w:hAnsi="Cambria Math"/>
            </w:rPr>
            <m:t xml:space="preserve">=239 </m:t>
          </m:r>
          <m:f>
            <m:fPr>
              <m:ctrlPr>
                <w:rPr>
                  <w:rFonts w:ascii="Cambria Math" w:eastAsiaTheme="minorEastAsia" w:hAnsi="Cambria Math"/>
                </w:rPr>
              </m:ctrlPr>
            </m:fPr>
            <m:num>
              <m:r>
                <m:rPr>
                  <m:sty m:val="p"/>
                </m:rPr>
                <w:rPr>
                  <w:rFonts w:ascii="Cambria Math" w:eastAsiaTheme="minorEastAsia" w:hAnsi="Cambria Math"/>
                </w:rPr>
                <m:t>mg</m:t>
              </m:r>
            </m:num>
            <m:den>
              <m:r>
                <m:rPr>
                  <m:sty m:val="p"/>
                </m:rPr>
                <w:rPr>
                  <w:rFonts w:ascii="Cambria Math" w:eastAsiaTheme="minorEastAsia" w:hAnsi="Cambria Math"/>
                </w:rPr>
                <m:t>L</m:t>
              </m:r>
            </m:den>
          </m:f>
        </m:oMath>
      </m:oMathPara>
    </w:p>
    <w:p w:rsidR="0078483F" w:rsidRPr="00CC42C7" w:rsidRDefault="0078483F" w:rsidP="0078483F">
      <w:pPr>
        <w:ind w:left="2127"/>
        <w:rPr>
          <w:rFonts w:eastAsiaTheme="minorEastAsia"/>
        </w:rPr>
      </w:pPr>
      <m:oMathPara>
        <m:oMath>
          <m:sSub>
            <m:sSubPr>
              <m:ctrlPr>
                <w:rPr>
                  <w:rFonts w:ascii="Cambria Math" w:hAnsi="Cambria Math"/>
                  <w:i/>
                </w:rPr>
              </m:ctrlPr>
            </m:sSubPr>
            <m:e>
              <m:r>
                <w:rPr>
                  <w:rFonts w:ascii="Cambria Math" w:hAnsi="Cambria Math"/>
                </w:rPr>
                <m:t>x</m:t>
              </m:r>
            </m:e>
            <m:sub>
              <m:r>
                <w:rPr>
                  <w:rFonts w:ascii="Cambria Math" w:hAnsi="Cambria Math"/>
                </w:rPr>
                <m:t>rel</m:t>
              </m:r>
            </m:sub>
          </m:sSub>
          <m:r>
            <w:rPr>
              <w:rFonts w:ascii="Cambria Math" w:hAnsi="Cambria Math"/>
            </w:rPr>
            <m:t xml:space="preserve">= </m:t>
          </m:r>
          <m:f>
            <m:fPr>
              <m:ctrlPr>
                <w:rPr>
                  <w:rFonts w:ascii="Cambria Math" w:hAnsi="Cambria Math"/>
                  <w:i/>
                </w:rPr>
              </m:ctrlPr>
            </m:fPr>
            <m:num>
              <m:acc>
                <m:accPr>
                  <m:chr m:val="̅"/>
                  <m:ctrlPr>
                    <w:rPr>
                      <w:rFonts w:ascii="Cambria Math" w:hAnsi="Cambria Math"/>
                      <w:i/>
                    </w:rPr>
                  </m:ctrlPr>
                </m:accPr>
                <m:e>
                  <m:sSub>
                    <m:sSubPr>
                      <m:ctrlPr>
                        <w:rPr>
                          <w:rFonts w:ascii="Cambria Math" w:hAnsi="Cambria Math"/>
                          <w:i/>
                        </w:rPr>
                      </m:ctrlPr>
                    </m:sSubPr>
                    <m:e>
                      <m:r>
                        <w:rPr>
                          <w:rFonts w:ascii="Cambria Math" w:hAnsi="Cambria Math"/>
                        </w:rPr>
                        <m:t>x</m:t>
                      </m:r>
                    </m:e>
                    <m:sub>
                      <m:r>
                        <w:rPr>
                          <w:rFonts w:ascii="Cambria Math" w:hAnsi="Cambria Math"/>
                        </w:rPr>
                        <m:t>abs</m:t>
                      </m:r>
                    </m:sub>
                  </m:sSub>
                </m:e>
              </m:acc>
            </m:num>
            <m:den>
              <m:sSub>
                <m:sSubPr>
                  <m:ctrlPr>
                    <w:rPr>
                      <w:rFonts w:ascii="Cambria Math" w:hAnsi="Cambria Math"/>
                      <w:i/>
                    </w:rPr>
                  </m:ctrlPr>
                </m:sSubPr>
                <m:e>
                  <m:r>
                    <w:rPr>
                      <w:rFonts w:ascii="Cambria Math" w:hAnsi="Cambria Math"/>
                    </w:rPr>
                    <m:t>x</m:t>
                  </m:r>
                </m:e>
                <m:sub>
                  <m:r>
                    <w:rPr>
                      <w:rFonts w:ascii="Cambria Math" w:hAnsi="Cambria Math"/>
                    </w:rPr>
                    <m:t>Literatur</m:t>
                  </m:r>
                </m:sub>
              </m:sSub>
            </m:den>
          </m:f>
          <m:r>
            <w:rPr>
              <w:rFonts w:ascii="Cambria Math" w:hAnsi="Cambria Math"/>
            </w:rPr>
            <m:t xml:space="preserve"> ∙100= </m:t>
          </m:r>
          <m:f>
            <m:fPr>
              <m:ctrlPr>
                <w:rPr>
                  <w:rFonts w:ascii="Cambria Math" w:hAnsi="Cambria Math"/>
                  <w:i/>
                </w:rPr>
              </m:ctrlPr>
            </m:fPr>
            <m:num>
              <m:r>
                <w:rPr>
                  <w:rFonts w:ascii="Cambria Math" w:hAnsi="Cambria Math"/>
                </w:rPr>
                <m:t>239</m:t>
              </m:r>
            </m:num>
            <m:den>
              <m:r>
                <w:rPr>
                  <w:rFonts w:ascii="Cambria Math" w:hAnsi="Cambria Math"/>
                </w:rPr>
                <m:t>700</m:t>
              </m:r>
            </m:den>
          </m:f>
          <m:r>
            <w:rPr>
              <w:rFonts w:ascii="Cambria Math" w:hAnsi="Cambria Math"/>
            </w:rPr>
            <m:t xml:space="preserve"> ∙100=34,14 %</m:t>
          </m:r>
        </m:oMath>
      </m:oMathPara>
    </w:p>
    <w:p w:rsidR="0078483F" w:rsidRDefault="0078483F" w:rsidP="0078483F">
      <w:pPr>
        <w:ind w:left="2127"/>
      </w:pPr>
      <w:r>
        <w:t>Für die zweite Protolyse-Stufe wird dies ebenfalls berechnet:</w:t>
      </w:r>
    </w:p>
    <w:p w:rsidR="0078483F" w:rsidRDefault="0078483F" w:rsidP="0078483F">
      <w:pPr>
        <w:ind w:left="2127"/>
      </w:pPr>
      <w:r>
        <w:lastRenderedPageBreak/>
        <w:t xml:space="preserve">Dazu wird zuerst die Volumendifferenz zwischen den beiden </w:t>
      </w:r>
      <w:proofErr w:type="spellStart"/>
      <w:r>
        <w:t>ÄP´s</w:t>
      </w:r>
      <w:proofErr w:type="spellEnd"/>
      <w:r>
        <w:t xml:space="preserve"> ermi</w:t>
      </w:r>
      <w:r>
        <w:t>t</w:t>
      </w:r>
      <w:r>
        <w:t>telt, da nur dort die Dissoziation von Dihydrogenphosphat zu Hydroge</w:t>
      </w:r>
      <w:r>
        <w:t>n</w:t>
      </w:r>
      <w:r>
        <w:t xml:space="preserve">phosphat stattfindet und die zuvor zugegebene </w:t>
      </w:r>
      <w:proofErr w:type="spellStart"/>
      <w:r>
        <w:t>NaOH</w:t>
      </w:r>
      <w:proofErr w:type="spellEnd"/>
      <w:r>
        <w:t xml:space="preserve">-Lösung bereits neutralisiert wurde. Die graphisch ermittelten Volumina der </w:t>
      </w:r>
      <w:proofErr w:type="spellStart"/>
      <w:r>
        <w:t>ÄP´s</w:t>
      </w:r>
      <w:proofErr w:type="spellEnd"/>
      <w:r>
        <w:t xml:space="preserve"> werden aus der Titrationskurve entnommen. Die Differenz ergibt sich folgende</w:t>
      </w:r>
      <w:r>
        <w:t>r</w:t>
      </w:r>
      <w:r>
        <w:t>maßen:</w:t>
      </w:r>
    </w:p>
    <w:p w:rsidR="0078483F" w:rsidRPr="00C906FB" w:rsidRDefault="0078483F" w:rsidP="0078483F">
      <w:pPr>
        <w:ind w:left="2127"/>
        <w:rPr>
          <w:rFonts w:eastAsiaTheme="minorEastAsia"/>
        </w:rPr>
      </w:pPr>
      <m:oMathPara>
        <m:oMath>
          <m:sSub>
            <m:sSubPr>
              <m:ctrlPr>
                <w:rPr>
                  <w:rFonts w:ascii="Cambria Math" w:hAnsi="Cambria Math"/>
                  <w:i/>
                </w:rPr>
              </m:ctrlPr>
            </m:sSubPr>
            <m:e>
              <m:r>
                <w:rPr>
                  <w:rFonts w:ascii="Cambria Math" w:hAnsi="Cambria Math"/>
                </w:rPr>
                <m:t>V</m:t>
              </m:r>
            </m:e>
            <m:sub>
              <m:r>
                <w:rPr>
                  <w:rFonts w:ascii="Cambria Math" w:hAnsi="Cambria Math"/>
                </w:rPr>
                <m:t>ÄP2</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ÄP1</m:t>
              </m:r>
            </m:sub>
          </m:sSub>
          <m:r>
            <w:rPr>
              <w:rFonts w:ascii="Cambria Math" w:hAnsi="Cambria Math"/>
            </w:rPr>
            <m:t>= ∆V</m:t>
          </m:r>
        </m:oMath>
      </m:oMathPara>
    </w:p>
    <w:p w:rsidR="0078483F" w:rsidRDefault="0078483F" w:rsidP="0078483F">
      <w:pPr>
        <w:ind w:left="2127"/>
      </w:pPr>
      <m:oMathPara>
        <m:oMath>
          <m:r>
            <w:rPr>
              <w:rFonts w:ascii="Cambria Math" w:eastAsiaTheme="minorEastAsia" w:hAnsi="Cambria Math"/>
            </w:rPr>
            <m:t xml:space="preserve">10,2 </m:t>
          </m:r>
          <m:r>
            <m:rPr>
              <m:sty m:val="p"/>
            </m:rPr>
            <w:rPr>
              <w:rFonts w:ascii="Cambria Math" w:eastAsiaTheme="minorEastAsia" w:hAnsi="Cambria Math"/>
            </w:rPr>
            <m:t>mL-4,7 mL=5,5 mL</m:t>
          </m:r>
        </m:oMath>
      </m:oMathPara>
    </w:p>
    <w:p w:rsidR="0078483F" w:rsidRDefault="0078483F" w:rsidP="0078483F">
      <w:pPr>
        <w:ind w:left="2127"/>
      </w:pPr>
      <w:r>
        <w:t xml:space="preserve">Im nächsten Schritt wird die Stoffmenge des </w:t>
      </w:r>
      <w:proofErr w:type="spellStart"/>
      <w:r>
        <w:t>NaOH</w:t>
      </w:r>
      <w:proofErr w:type="spellEnd"/>
      <w:r>
        <w:t xml:space="preserve"> in den 5,5 </w:t>
      </w:r>
      <w:proofErr w:type="spellStart"/>
      <w:r>
        <w:t>mL</w:t>
      </w:r>
      <w:proofErr w:type="spellEnd"/>
      <w:r>
        <w:t xml:space="preserve"> berec</w:t>
      </w:r>
      <w:r>
        <w:t>h</w:t>
      </w:r>
      <w:r>
        <w:t>net. Dazu wird die Formel der Stoffmengenkonzentration nach der Stof</w:t>
      </w:r>
      <w:r>
        <w:t>f</w:t>
      </w:r>
      <w:r>
        <w:t>menge umgestellt und die Werte werden eingesetzt.</w:t>
      </w:r>
    </w:p>
    <w:p w:rsidR="0078483F" w:rsidRDefault="0078483F" w:rsidP="0078483F">
      <w:pPr>
        <w:ind w:left="2127"/>
        <w:rPr>
          <w:rFonts w:eastAsiaTheme="minorEastAsia"/>
        </w:rPr>
      </w:pPr>
      <m:oMathPara>
        <m:oMath>
          <m:r>
            <w:rPr>
              <w:rFonts w:ascii="Cambria Math" w:hAnsi="Cambria Math"/>
            </w:rPr>
            <m:t>c=</m:t>
          </m:r>
          <m:f>
            <m:fPr>
              <m:ctrlPr>
                <w:rPr>
                  <w:rFonts w:ascii="Cambria Math" w:hAnsi="Cambria Math"/>
                  <w:i/>
                </w:rPr>
              </m:ctrlPr>
            </m:fPr>
            <m:num>
              <m:r>
                <w:rPr>
                  <w:rFonts w:ascii="Cambria Math" w:hAnsi="Cambria Math"/>
                </w:rPr>
                <m:t>n</m:t>
              </m:r>
            </m:num>
            <m:den>
              <m:r>
                <w:rPr>
                  <w:rFonts w:ascii="Cambria Math" w:hAnsi="Cambria Math"/>
                </w:rPr>
                <m:t>V</m:t>
              </m:r>
            </m:den>
          </m:f>
          <m:r>
            <w:rPr>
              <w:rFonts w:ascii="Cambria Math" w:hAnsi="Cambria Math"/>
            </w:rPr>
            <m:t xml:space="preserve">  ↔n=c∙V</m:t>
          </m:r>
        </m:oMath>
      </m:oMathPara>
    </w:p>
    <w:p w:rsidR="0078483F" w:rsidRDefault="0078483F" w:rsidP="0078483F">
      <w:pPr>
        <w:ind w:left="2127"/>
      </w:pPr>
      <m:oMathPara>
        <m:oMath>
          <m:r>
            <w:rPr>
              <w:rFonts w:ascii="Cambria Math" w:hAnsi="Cambria Math"/>
            </w:rPr>
            <m:t xml:space="preserve">n=0,1 </m:t>
          </m:r>
          <m:f>
            <m:fPr>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r>
            <w:rPr>
              <w:rFonts w:ascii="Cambria Math" w:hAnsi="Cambria Math"/>
            </w:rPr>
            <m:t xml:space="preserve">∙0,0055 </m:t>
          </m:r>
          <m:r>
            <m:rPr>
              <m:sty m:val="p"/>
            </m:rPr>
            <w:rPr>
              <w:rFonts w:ascii="Cambria Math" w:hAnsi="Cambria Math"/>
            </w:rPr>
            <m:t>L=5,5 ∙</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r>
            <m:rPr>
              <m:sty m:val="p"/>
            </m:rPr>
            <w:rPr>
              <w:rFonts w:ascii="Cambria Math" w:hAnsi="Cambria Math"/>
            </w:rPr>
            <m:t xml:space="preserve"> mol</m:t>
          </m:r>
        </m:oMath>
      </m:oMathPara>
    </w:p>
    <w:p w:rsidR="0078483F" w:rsidRDefault="0078483F" w:rsidP="0078483F">
      <w:pPr>
        <w:ind w:left="2126"/>
        <w:contextualSpacing/>
        <w:rPr>
          <w:rFonts w:eastAsiaTheme="minorEastAsia"/>
        </w:rPr>
      </w:pPr>
      <w:r>
        <w:t xml:space="preserve">Somit ist die Stoffmenge des Hydrogenphosphates ebenfalls </w:t>
      </w:r>
    </w:p>
    <w:p w:rsidR="0078483F" w:rsidRDefault="0078483F" w:rsidP="0078483F">
      <w:pPr>
        <w:ind w:left="2126"/>
        <w:contextualSpacing/>
        <w:rPr>
          <w:rFonts w:eastAsiaTheme="minorEastAsia"/>
        </w:rPr>
      </w:pPr>
      <m:oMath>
        <m:r>
          <m:rPr>
            <m:sty m:val="p"/>
          </m:rPr>
          <w:rPr>
            <w:rFonts w:ascii="Cambria Math" w:hAnsi="Cambria Math"/>
          </w:rPr>
          <m:t>5,5∙</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r>
          <m:rPr>
            <m:sty m:val="p"/>
          </m:rPr>
          <w:rPr>
            <w:rFonts w:ascii="Cambria Math" w:hAnsi="Cambria Math"/>
          </w:rPr>
          <m:t xml:space="preserve"> mol</m:t>
        </m:r>
      </m:oMath>
      <w:r>
        <w:rPr>
          <w:rFonts w:eastAsiaTheme="minorEastAsia"/>
        </w:rPr>
        <w:t>, da der ÄP betrachtetet wird und dort äquimolare Stof</w:t>
      </w:r>
      <w:r>
        <w:rPr>
          <w:rFonts w:eastAsiaTheme="minorEastAsia"/>
        </w:rPr>
        <w:t>f</w:t>
      </w:r>
      <w:r>
        <w:rPr>
          <w:rFonts w:eastAsiaTheme="minorEastAsia"/>
        </w:rPr>
        <w:t>mengen der Säure und der Base vorliegen.</w:t>
      </w:r>
    </w:p>
    <w:p w:rsidR="0078483F" w:rsidRDefault="0078483F" w:rsidP="0078483F">
      <w:pPr>
        <w:ind w:left="2127"/>
        <w:contextualSpacing/>
        <w:rPr>
          <w:rFonts w:eastAsiaTheme="minorEastAsia"/>
        </w:rPr>
      </w:pPr>
      <w:r>
        <w:rPr>
          <w:rFonts w:eastAsiaTheme="minorEastAsia"/>
        </w:rPr>
        <w:t>Nun muss die Verdünnung noch berücksichtigt werden. Daher wird für die Berechnung der Konzentration das Gesamtvolumen berücksichtigt. Das Gesamtvolumen beträgt 0,1102 L.</w:t>
      </w:r>
    </w:p>
    <w:p w:rsidR="0078483F" w:rsidRDefault="0078483F" w:rsidP="0078483F">
      <w:pPr>
        <w:ind w:left="2127"/>
        <w:contextualSpacing/>
        <w:rPr>
          <w:rFonts w:eastAsiaTheme="minorEastAsia"/>
        </w:rPr>
      </w:pPr>
    </w:p>
    <w:p w:rsidR="0078483F" w:rsidRDefault="0078483F" w:rsidP="0078483F">
      <w:pPr>
        <w:ind w:left="2127"/>
      </w:pPr>
      <m:oMathPara>
        <m:oMath>
          <m:r>
            <w:rPr>
              <w:rFonts w:ascii="Cambria Math" w:hAnsi="Cambria Math"/>
            </w:rPr>
            <m:t>c=</m:t>
          </m:r>
          <m:f>
            <m:fPr>
              <m:ctrlPr>
                <w:rPr>
                  <w:rFonts w:ascii="Cambria Math" w:hAnsi="Cambria Math"/>
                  <w:i/>
                </w:rPr>
              </m:ctrlPr>
            </m:fPr>
            <m:num>
              <m:r>
                <m:rPr>
                  <m:sty m:val="p"/>
                </m:rPr>
                <w:rPr>
                  <w:rFonts w:ascii="Cambria Math" w:hAnsi="Cambria Math"/>
                </w:rPr>
                <m:t>5,5 ∙</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r>
                <m:rPr>
                  <m:sty m:val="p"/>
                </m:rPr>
                <w:rPr>
                  <w:rFonts w:ascii="Cambria Math" w:hAnsi="Cambria Math"/>
                </w:rPr>
                <m:t xml:space="preserve"> mol</m:t>
              </m:r>
            </m:num>
            <m:den>
              <m:r>
                <w:rPr>
                  <w:rFonts w:ascii="Cambria Math" w:hAnsi="Cambria Math"/>
                </w:rPr>
                <m:t xml:space="preserve">0,1102 </m:t>
              </m:r>
              <m:r>
                <m:rPr>
                  <m:sty m:val="p"/>
                </m:rPr>
                <w:rPr>
                  <w:rFonts w:ascii="Cambria Math" w:hAnsi="Cambria Math"/>
                </w:rPr>
                <m:t>L</m:t>
              </m:r>
            </m:den>
          </m:f>
          <m:r>
            <w:rPr>
              <w:rFonts w:ascii="Cambria Math" w:hAnsi="Cambria Math"/>
            </w:rPr>
            <m:t xml:space="preserve">=4,99 ∙ </m:t>
          </m:r>
          <m:sSup>
            <m:sSupPr>
              <m:ctrlPr>
                <w:rPr>
                  <w:rFonts w:ascii="Cambria Math" w:hAnsi="Cambria Math"/>
                  <w:i/>
                </w:rPr>
              </m:ctrlPr>
            </m:sSupPr>
            <m:e>
              <m:r>
                <w:rPr>
                  <w:rFonts w:ascii="Cambria Math" w:hAnsi="Cambria Math"/>
                </w:rPr>
                <m:t>10</m:t>
              </m:r>
            </m:e>
            <m:sup>
              <m:r>
                <w:rPr>
                  <w:rFonts w:ascii="Cambria Math" w:hAnsi="Cambria Math"/>
                </w:rPr>
                <m:t>-4</m:t>
              </m:r>
            </m:sup>
          </m:sSup>
          <m:f>
            <m:fPr>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oMath>
      </m:oMathPara>
    </w:p>
    <w:p w:rsidR="0078483F" w:rsidRDefault="0078483F" w:rsidP="0078483F">
      <w:pPr>
        <w:ind w:left="2127"/>
        <w:rPr>
          <w:rFonts w:eastAsiaTheme="minorEastAsia"/>
        </w:rPr>
      </w:pPr>
      <w:r>
        <w:t xml:space="preserve">Somit liegt eine Dihydrogenphosphat-Konzentration von </w:t>
      </w:r>
      <m:oMath>
        <m:r>
          <w:rPr>
            <w:rFonts w:ascii="Cambria Math" w:hAnsi="Cambria Math"/>
          </w:rPr>
          <m:t xml:space="preserve">4,99 ∙ </m:t>
        </m:r>
        <m:sSup>
          <m:sSupPr>
            <m:ctrlPr>
              <w:rPr>
                <w:rFonts w:ascii="Cambria Math" w:hAnsi="Cambria Math"/>
                <w:i/>
              </w:rPr>
            </m:ctrlPr>
          </m:sSupPr>
          <m:e>
            <m:r>
              <w:rPr>
                <w:rFonts w:ascii="Cambria Math" w:hAnsi="Cambria Math"/>
              </w:rPr>
              <m:t>10</m:t>
            </m:r>
          </m:e>
          <m:sup>
            <m:r>
              <w:rPr>
                <w:rFonts w:ascii="Cambria Math" w:hAnsi="Cambria Math"/>
              </w:rPr>
              <m:t>-4</m:t>
            </m:r>
          </m:sup>
        </m:sSup>
        <m:f>
          <m:fPr>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oMath>
      <w:r>
        <w:rPr>
          <w:rFonts w:eastAsiaTheme="minorEastAsia"/>
        </w:rPr>
        <w:t xml:space="preserve"> vor. </w:t>
      </w:r>
    </w:p>
    <w:p w:rsidR="0078483F" w:rsidRDefault="0078483F" w:rsidP="0078483F">
      <w:pPr>
        <w:ind w:left="2127"/>
      </w:pPr>
      <w:r>
        <w:rPr>
          <w:rFonts w:eastAsiaTheme="minorEastAsia"/>
        </w:rPr>
        <w:t>Nach diesem Prinzip wird kann auch die Konzentration des Phosphats am dritten ÄP berechnet werden.</w:t>
      </w:r>
    </w:p>
    <w:p w:rsidR="0078483F" w:rsidRDefault="0078483F" w:rsidP="0078483F">
      <w:pPr>
        <w:ind w:left="2127"/>
      </w:pPr>
      <w:r>
        <w:t xml:space="preserve">Ebenfalls ist in der Auftragung die Lage der </w:t>
      </w:r>
      <w:proofErr w:type="spellStart"/>
      <w:r>
        <w:t>Halbäquivalenzpunkte</w:t>
      </w:r>
      <w:proofErr w:type="spellEnd"/>
      <w:r>
        <w:t xml:space="preserve"> zu entnehmen. Für die </w:t>
      </w:r>
      <w:proofErr w:type="spellStart"/>
      <w:r>
        <w:t>Halbäquivalenzpunkte</w:t>
      </w:r>
      <w:proofErr w:type="spellEnd"/>
      <w:r>
        <w:t xml:space="preserve">( HÄP) gilt, dass dort der pH-Wert dem </w:t>
      </w:r>
      <w:proofErr w:type="spellStart"/>
      <w:r>
        <w:t>pK</w:t>
      </w:r>
      <w:r w:rsidRPr="00CC42C7">
        <w:rPr>
          <w:vertAlign w:val="subscript"/>
        </w:rPr>
        <w:t>s</w:t>
      </w:r>
      <w:proofErr w:type="spellEnd"/>
      <w:r>
        <w:t>-Wert entspricht. Der erste HÄP liegt bei einem pH-Wert von 2,4 und der zweite HÄP bei 7,2. Nun kann eine Fehlerbetrachtung mit den Literaturwerten vorgenommen werden.</w:t>
      </w:r>
    </w:p>
    <w:p w:rsidR="0078483F" w:rsidRPr="00282F85" w:rsidRDefault="0078483F" w:rsidP="0078483F">
      <w:pPr>
        <w:ind w:left="2127"/>
        <w:rPr>
          <w:vertAlign w:val="superscript"/>
        </w:rPr>
      </w:pPr>
      <w:r>
        <w:lastRenderedPageBreak/>
        <w:t>pK</w:t>
      </w:r>
      <w:r>
        <w:rPr>
          <w:vertAlign w:val="subscript"/>
        </w:rPr>
        <w:t>s1, Literatur</w:t>
      </w:r>
      <w:r>
        <w:t>= 2,1</w:t>
      </w:r>
      <w:r>
        <w:rPr>
          <w:vertAlign w:val="superscript"/>
        </w:rPr>
        <w:t>[3]</w:t>
      </w:r>
    </w:p>
    <w:p w:rsidR="0078483F" w:rsidRPr="00282F85" w:rsidRDefault="0078483F" w:rsidP="0078483F">
      <w:pPr>
        <w:ind w:left="2127"/>
        <w:rPr>
          <w:vertAlign w:val="superscript"/>
        </w:rPr>
      </w:pPr>
      <w:r>
        <w:t>pK</w:t>
      </w:r>
      <w:r>
        <w:rPr>
          <w:vertAlign w:val="subscript"/>
        </w:rPr>
        <w:t>s2, Literatur</w:t>
      </w:r>
      <w:r>
        <w:t>= 7,1</w:t>
      </w:r>
      <w:r>
        <w:rPr>
          <w:vertAlign w:val="superscript"/>
        </w:rPr>
        <w:t>[3]</w:t>
      </w:r>
    </w:p>
    <w:p w:rsidR="0078483F" w:rsidRDefault="0078483F" w:rsidP="0078483F">
      <w:pPr>
        <w:ind w:left="2127"/>
      </w:pPr>
      <w:r>
        <w:t>Beispielhaft wird dies für den ersten HÄP berechnet bei dem zweiten werden nur die Ergebnisse genannt.</w:t>
      </w:r>
    </w:p>
    <w:p w:rsidR="0078483F" w:rsidRPr="003C6AFD" w:rsidRDefault="0078483F" w:rsidP="0078483F">
      <w:pPr>
        <w:ind w:left="2127"/>
        <w:rPr>
          <w:rFonts w:eastAsiaTheme="minorEastAsia"/>
        </w:rPr>
      </w:pPr>
      <w:r>
        <w:rPr>
          <w:rFonts w:eastAsiaTheme="minorEastAsia"/>
        </w:rPr>
        <w:t xml:space="preserve">Für </w:t>
      </w:r>
      <w:r>
        <w:t>pK</w:t>
      </w:r>
      <w:r>
        <w:rPr>
          <w:vertAlign w:val="subscript"/>
        </w:rPr>
        <w:t>s1</w:t>
      </w:r>
      <w:r>
        <w:t>-Wert:</w:t>
      </w:r>
    </w:p>
    <w:p w:rsidR="0078483F" w:rsidRPr="00AA6C94" w:rsidRDefault="0078483F" w:rsidP="0078483F">
      <w:pPr>
        <w:ind w:left="2127"/>
        <w:rPr>
          <w:rFonts w:eastAsiaTheme="minorEastAsia"/>
        </w:rPr>
      </w:pPr>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x</m:t>
                  </m:r>
                </m:e>
                <m:sub>
                  <m:r>
                    <w:rPr>
                      <w:rFonts w:ascii="Cambria Math" w:hAnsi="Cambria Math"/>
                    </w:rPr>
                    <m:t>abs</m:t>
                  </m:r>
                </m:sub>
              </m:sSub>
            </m:e>
          </m:acc>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 xml:space="preserve">Messwert </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Literatur</m:t>
                  </m:r>
                </m:sub>
              </m:sSub>
            </m:e>
          </m:d>
          <m:r>
            <w:rPr>
              <w:rFonts w:ascii="Cambria Math" w:hAnsi="Cambria Math"/>
            </w:rPr>
            <m:t xml:space="preserve">= </m:t>
          </m:r>
          <m:d>
            <m:dPr>
              <m:begChr m:val="|"/>
              <m:endChr m:val="|"/>
              <m:ctrlPr>
                <w:rPr>
                  <w:rFonts w:ascii="Cambria Math" w:hAnsi="Cambria Math"/>
                  <w:i/>
                </w:rPr>
              </m:ctrlPr>
            </m:dPr>
            <m:e>
              <m:r>
                <w:rPr>
                  <w:rFonts w:ascii="Cambria Math" w:hAnsi="Cambria Math"/>
                </w:rPr>
                <m:t xml:space="preserve">2,4- 2,1 </m:t>
              </m:r>
            </m:e>
          </m:d>
          <m:r>
            <w:rPr>
              <w:rFonts w:ascii="Cambria Math" w:eastAsiaTheme="minorEastAsia" w:hAnsi="Cambria Math"/>
            </w:rPr>
            <m:t>=0,3</m:t>
          </m:r>
        </m:oMath>
      </m:oMathPara>
    </w:p>
    <w:p w:rsidR="0078483F" w:rsidRPr="00AA6C94" w:rsidRDefault="0078483F" w:rsidP="0078483F">
      <w:pPr>
        <w:ind w:left="2127"/>
        <w:rPr>
          <w:rFonts w:eastAsiaTheme="minorEastAsia"/>
        </w:rPr>
      </w:pPr>
      <m:oMathPara>
        <m:oMath>
          <m:sSub>
            <m:sSubPr>
              <m:ctrlPr>
                <w:rPr>
                  <w:rFonts w:ascii="Cambria Math" w:hAnsi="Cambria Math"/>
                  <w:i/>
                </w:rPr>
              </m:ctrlPr>
            </m:sSubPr>
            <m:e>
              <m:r>
                <w:rPr>
                  <w:rFonts w:ascii="Cambria Math" w:hAnsi="Cambria Math"/>
                </w:rPr>
                <m:t>x</m:t>
              </m:r>
            </m:e>
            <m:sub>
              <m:r>
                <w:rPr>
                  <w:rFonts w:ascii="Cambria Math" w:hAnsi="Cambria Math"/>
                </w:rPr>
                <m:t>rel</m:t>
              </m:r>
            </m:sub>
          </m:sSub>
          <m:r>
            <w:rPr>
              <w:rFonts w:ascii="Cambria Math" w:hAnsi="Cambria Math"/>
            </w:rPr>
            <m:t xml:space="preserve">= </m:t>
          </m:r>
          <m:f>
            <m:fPr>
              <m:ctrlPr>
                <w:rPr>
                  <w:rFonts w:ascii="Cambria Math" w:hAnsi="Cambria Math"/>
                  <w:i/>
                </w:rPr>
              </m:ctrlPr>
            </m:fPr>
            <m:num>
              <m:acc>
                <m:accPr>
                  <m:chr m:val="̅"/>
                  <m:ctrlPr>
                    <w:rPr>
                      <w:rFonts w:ascii="Cambria Math" w:hAnsi="Cambria Math"/>
                      <w:i/>
                    </w:rPr>
                  </m:ctrlPr>
                </m:accPr>
                <m:e>
                  <m:sSub>
                    <m:sSubPr>
                      <m:ctrlPr>
                        <w:rPr>
                          <w:rFonts w:ascii="Cambria Math" w:hAnsi="Cambria Math"/>
                          <w:i/>
                        </w:rPr>
                      </m:ctrlPr>
                    </m:sSubPr>
                    <m:e>
                      <m:r>
                        <w:rPr>
                          <w:rFonts w:ascii="Cambria Math" w:hAnsi="Cambria Math"/>
                        </w:rPr>
                        <m:t>x</m:t>
                      </m:r>
                    </m:e>
                    <m:sub>
                      <m:r>
                        <w:rPr>
                          <w:rFonts w:ascii="Cambria Math" w:hAnsi="Cambria Math"/>
                        </w:rPr>
                        <m:t>abs</m:t>
                      </m:r>
                    </m:sub>
                  </m:sSub>
                </m:e>
              </m:acc>
            </m:num>
            <m:den>
              <m:sSub>
                <m:sSubPr>
                  <m:ctrlPr>
                    <w:rPr>
                      <w:rFonts w:ascii="Cambria Math" w:hAnsi="Cambria Math"/>
                      <w:i/>
                    </w:rPr>
                  </m:ctrlPr>
                </m:sSubPr>
                <m:e>
                  <m:r>
                    <w:rPr>
                      <w:rFonts w:ascii="Cambria Math" w:hAnsi="Cambria Math"/>
                    </w:rPr>
                    <m:t>x</m:t>
                  </m:r>
                </m:e>
                <m:sub>
                  <m:r>
                    <w:rPr>
                      <w:rFonts w:ascii="Cambria Math" w:hAnsi="Cambria Math"/>
                    </w:rPr>
                    <m:t>Literatur</m:t>
                  </m:r>
                </m:sub>
              </m:sSub>
            </m:den>
          </m:f>
          <m:r>
            <w:rPr>
              <w:rFonts w:ascii="Cambria Math" w:hAnsi="Cambria Math"/>
            </w:rPr>
            <m:t xml:space="preserve"> ∙100= </m:t>
          </m:r>
          <m:f>
            <m:fPr>
              <m:ctrlPr>
                <w:rPr>
                  <w:rFonts w:ascii="Cambria Math" w:hAnsi="Cambria Math"/>
                  <w:i/>
                </w:rPr>
              </m:ctrlPr>
            </m:fPr>
            <m:num>
              <m:r>
                <w:rPr>
                  <w:rFonts w:ascii="Cambria Math" w:hAnsi="Cambria Math"/>
                </w:rPr>
                <m:t>0,3</m:t>
              </m:r>
            </m:num>
            <m:den>
              <m:r>
                <w:rPr>
                  <w:rFonts w:ascii="Cambria Math" w:hAnsi="Cambria Math"/>
                </w:rPr>
                <m:t>2,1</m:t>
              </m:r>
            </m:den>
          </m:f>
          <m:r>
            <w:rPr>
              <w:rFonts w:ascii="Cambria Math" w:hAnsi="Cambria Math"/>
            </w:rPr>
            <m:t xml:space="preserve"> ∙100=14,29 %</m:t>
          </m:r>
        </m:oMath>
      </m:oMathPara>
    </w:p>
    <w:p w:rsidR="0078483F" w:rsidRPr="003C6AFD" w:rsidRDefault="0078483F" w:rsidP="0078483F">
      <w:pPr>
        <w:ind w:left="2127"/>
        <w:rPr>
          <w:rFonts w:eastAsiaTheme="minorEastAsia"/>
        </w:rPr>
      </w:pPr>
      <w:r>
        <w:t>Für pK</w:t>
      </w:r>
      <w:r>
        <w:rPr>
          <w:vertAlign w:val="subscript"/>
        </w:rPr>
        <w:t>s2</w:t>
      </w:r>
      <w:r>
        <w:t>-Wert:</w:t>
      </w:r>
    </w:p>
    <w:p w:rsidR="0078483F" w:rsidRPr="00AA6C94" w:rsidRDefault="0078483F" w:rsidP="0078483F">
      <w:pPr>
        <w:ind w:left="2127"/>
        <w:rPr>
          <w:rFonts w:eastAsiaTheme="minorEastAsia"/>
        </w:rPr>
      </w:pPr>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x</m:t>
                  </m:r>
                </m:e>
                <m:sub>
                  <m:r>
                    <w:rPr>
                      <w:rFonts w:ascii="Cambria Math" w:hAnsi="Cambria Math"/>
                    </w:rPr>
                    <m:t>abs</m:t>
                  </m:r>
                </m:sub>
              </m:sSub>
            </m:e>
          </m:acc>
          <m:r>
            <w:rPr>
              <w:rFonts w:ascii="Cambria Math" w:hAnsi="Cambria Math"/>
            </w:rPr>
            <m:t>=0,1</m:t>
          </m:r>
        </m:oMath>
      </m:oMathPara>
    </w:p>
    <w:p w:rsidR="0078483F" w:rsidRPr="00AA6C94" w:rsidRDefault="0078483F" w:rsidP="0078483F">
      <w:pPr>
        <w:ind w:left="2127"/>
        <w:rPr>
          <w:rFonts w:eastAsiaTheme="minorEastAsia"/>
        </w:rPr>
      </w:pPr>
      <m:oMathPara>
        <m:oMath>
          <m:sSub>
            <m:sSubPr>
              <m:ctrlPr>
                <w:rPr>
                  <w:rFonts w:ascii="Cambria Math" w:hAnsi="Cambria Math"/>
                  <w:i/>
                </w:rPr>
              </m:ctrlPr>
            </m:sSubPr>
            <m:e>
              <m:r>
                <w:rPr>
                  <w:rFonts w:ascii="Cambria Math" w:hAnsi="Cambria Math"/>
                </w:rPr>
                <m:t>x</m:t>
              </m:r>
            </m:e>
            <m:sub>
              <m:r>
                <w:rPr>
                  <w:rFonts w:ascii="Cambria Math" w:hAnsi="Cambria Math"/>
                </w:rPr>
                <m:t>rel</m:t>
              </m:r>
            </m:sub>
          </m:sSub>
          <m:r>
            <w:rPr>
              <w:rFonts w:ascii="Cambria Math" w:hAnsi="Cambria Math"/>
            </w:rPr>
            <m:t>=1,41 %</m:t>
          </m:r>
        </m:oMath>
      </m:oMathPara>
    </w:p>
    <w:p w:rsidR="0078483F" w:rsidRPr="00CC42C7" w:rsidRDefault="0078483F" w:rsidP="0078483F">
      <w:pPr>
        <w:ind w:left="2127"/>
      </w:pPr>
      <w:r>
        <w:rPr>
          <w:rFonts w:eastAsiaTheme="minorEastAsia"/>
        </w:rPr>
        <w:t>Anhand der Fehlerwerte zeigt sich, dass diese nur sehr gering von den L</w:t>
      </w:r>
      <w:r>
        <w:rPr>
          <w:rFonts w:eastAsiaTheme="minorEastAsia"/>
        </w:rPr>
        <w:t>i</w:t>
      </w:r>
      <w:r>
        <w:rPr>
          <w:rFonts w:eastAsiaTheme="minorEastAsia"/>
        </w:rPr>
        <w:t xml:space="preserve">teraturwerten abweichen. Somit ist dies eine geeignete Methode um die </w:t>
      </w:r>
      <w:proofErr w:type="spellStart"/>
      <w:r>
        <w:rPr>
          <w:rFonts w:eastAsiaTheme="minorEastAsia"/>
        </w:rPr>
        <w:t>Halbäquivalenzpunkte</w:t>
      </w:r>
      <w:proofErr w:type="spellEnd"/>
      <w:r>
        <w:rPr>
          <w:rFonts w:eastAsiaTheme="minorEastAsia"/>
        </w:rPr>
        <w:t xml:space="preserve"> zu bestimmen.</w:t>
      </w:r>
    </w:p>
    <w:p w:rsidR="0078483F" w:rsidRPr="0056694B" w:rsidRDefault="0078483F" w:rsidP="0078483F">
      <w:pPr>
        <w:spacing w:line="276" w:lineRule="auto"/>
        <w:rPr>
          <w:rFonts w:eastAsiaTheme="minorEastAsia"/>
          <w:noProof/>
        </w:rPr>
      </w:pPr>
      <w:r>
        <w:t>Entsorgung:</w:t>
      </w:r>
      <w:r>
        <w:tab/>
        <w:t xml:space="preserve">           </w:t>
      </w:r>
      <w:r>
        <w:tab/>
        <w:t>Die Lösungen können über das Abwasser entsorgt werden.</w:t>
      </w:r>
    </w:p>
    <w:p w:rsidR="0078483F" w:rsidRPr="005B60E3" w:rsidRDefault="0078483F" w:rsidP="0078483F">
      <w:pPr>
        <w:spacing w:line="276" w:lineRule="auto"/>
        <w:rPr>
          <w:rFonts w:asciiTheme="majorHAnsi" w:eastAsiaTheme="majorEastAsia" w:hAnsiTheme="majorHAnsi" w:cstheme="majorBidi"/>
          <w:b/>
          <w:bCs/>
          <w:sz w:val="28"/>
          <w:szCs w:val="28"/>
        </w:rPr>
      </w:pPr>
      <w:r>
        <w:t>Literatur:</w:t>
      </w:r>
      <w:r>
        <w:tab/>
      </w:r>
      <w:r>
        <w:tab/>
      </w:r>
      <w:r>
        <w:rPr>
          <w:color w:val="auto"/>
        </w:rPr>
        <w:t xml:space="preserve">[3] </w:t>
      </w:r>
      <w:r w:rsidRPr="00282F85">
        <w:rPr>
          <w:color w:val="auto"/>
        </w:rPr>
        <w:t>http://www.ld-didactic.de/documents/en-</w:t>
      </w:r>
      <w:r>
        <w:rPr>
          <w:color w:val="auto"/>
        </w:rPr>
        <w:tab/>
      </w:r>
      <w:r>
        <w:rPr>
          <w:color w:val="auto"/>
        </w:rPr>
        <w:tab/>
      </w:r>
      <w:r>
        <w:rPr>
          <w:color w:val="auto"/>
        </w:rPr>
        <w:tab/>
      </w:r>
      <w:r>
        <w:rPr>
          <w:color w:val="auto"/>
        </w:rPr>
        <w:tab/>
      </w:r>
      <w:r>
        <w:rPr>
          <w:color w:val="auto"/>
        </w:rPr>
        <w:tab/>
      </w:r>
      <w:r>
        <w:rPr>
          <w:color w:val="auto"/>
        </w:rPr>
        <w:tab/>
      </w:r>
      <w:r w:rsidRPr="00282F85">
        <w:rPr>
          <w:color w:val="auto"/>
        </w:rPr>
        <w:t>US/EXP/C/C1/C1722_d.pdf</w:t>
      </w:r>
      <w:r>
        <w:rPr>
          <w:color w:val="auto"/>
        </w:rPr>
        <w:t xml:space="preserve">, 31.07.16 (Zuletzt abgerufen am 31.07.16 um </w:t>
      </w:r>
      <w:r>
        <w:rPr>
          <w:color w:val="auto"/>
        </w:rPr>
        <w:tab/>
      </w:r>
      <w:r>
        <w:rPr>
          <w:color w:val="auto"/>
        </w:rPr>
        <w:tab/>
      </w:r>
      <w:r>
        <w:rPr>
          <w:color w:val="auto"/>
        </w:rPr>
        <w:tab/>
        <w:t>15:07 Uhr).</w:t>
      </w:r>
    </w:p>
    <w:p w:rsidR="0078483F" w:rsidRDefault="0078483F" w:rsidP="0078483F">
      <w:pPr>
        <w:tabs>
          <w:tab w:val="left" w:pos="1701"/>
          <w:tab w:val="left" w:pos="1985"/>
        </w:tabs>
        <w:ind w:left="1980" w:hanging="1980"/>
      </w:pPr>
    </w:p>
    <w:p w:rsidR="0078483F" w:rsidRDefault="0078483F" w:rsidP="0078483F">
      <w:pPr>
        <w:tabs>
          <w:tab w:val="left" w:pos="1701"/>
          <w:tab w:val="left" w:pos="1985"/>
        </w:tabs>
        <w:ind w:left="1980" w:hanging="1980"/>
      </w:pPr>
      <w:r>
        <w:pict>
          <v:shape id="_x0000_s1026" type="#_x0000_t202" style="width:462.45pt;height:251.9pt;mso-position-horizontal-relative:char;mso-position-vertical-relative:line;mso-width-relative:margin;mso-height-relative:margin" fillcolor="white [3201]" strokecolor="#c0504d [3205]" strokeweight="1pt">
            <v:stroke dashstyle="dash"/>
            <v:shadow color="#868686"/>
            <v:textbox style="mso-next-textbox:#_x0000_s1026">
              <w:txbxContent>
                <w:p w:rsidR="0078483F" w:rsidRPr="00F31EBF" w:rsidRDefault="0078483F" w:rsidP="0078483F">
                  <w:pPr>
                    <w:rPr>
                      <w:color w:val="auto"/>
                    </w:rPr>
                  </w:pPr>
                  <w:r w:rsidRPr="00F31EBF">
                    <w:rPr>
                      <w:b/>
                      <w:color w:val="auto"/>
                    </w:rPr>
                    <w:t xml:space="preserve">Unterrichtsanschlüsse </w:t>
                  </w:r>
                  <w:r>
                    <w:rPr>
                      <w:color w:val="auto"/>
                    </w:rPr>
                    <w:t>Durch diesen Versuch ist es möglich, dass die Schülerinnen und Sch</w:t>
                  </w:r>
                  <w:r>
                    <w:rPr>
                      <w:color w:val="auto"/>
                    </w:rPr>
                    <w:t>ü</w:t>
                  </w:r>
                  <w:r>
                    <w:rPr>
                      <w:color w:val="auto"/>
                    </w:rPr>
                    <w:t xml:space="preserve">ler die Titration selber durchführen und ihr in den Stunden vorher erlangtes Wissen, über den </w:t>
                  </w:r>
                  <w:proofErr w:type="spellStart"/>
                  <w:r>
                    <w:rPr>
                      <w:color w:val="auto"/>
                    </w:rPr>
                    <w:t>Äquivalenzpunkt</w:t>
                  </w:r>
                  <w:proofErr w:type="spellEnd"/>
                  <w:r>
                    <w:rPr>
                      <w:color w:val="auto"/>
                    </w:rPr>
                    <w:t xml:space="preserve">, den </w:t>
                  </w:r>
                  <w:proofErr w:type="spellStart"/>
                  <w:r>
                    <w:rPr>
                      <w:color w:val="auto"/>
                    </w:rPr>
                    <w:t>Halbäquivalenzpunkt</w:t>
                  </w:r>
                  <w:proofErr w:type="spellEnd"/>
                  <w:r>
                    <w:rPr>
                      <w:color w:val="auto"/>
                    </w:rPr>
                    <w:t xml:space="preserve"> und das Anfertigen einer Titrationskurve, wie das Wissen über mehrprotonige Säuren, anzuwenden. Des Weiteren werden hier auch die Grun</w:t>
                  </w:r>
                  <w:r>
                    <w:rPr>
                      <w:color w:val="auto"/>
                    </w:rPr>
                    <w:t>d</w:t>
                  </w:r>
                  <w:r>
                    <w:rPr>
                      <w:color w:val="auto"/>
                    </w:rPr>
                    <w:t xml:space="preserve">lagen des chemischen Rechnens abverlangt und stellt für die Schülerinnen und Schüler eine gute Möglichkeit zur Übung dar. Die Cola muss vorher unbedingt abgekocht werden, damit das gelöste Hydrogencarbonat vollständig entfernt wurde, da dies sonst die Messung verfälscht. In diesem Versuch ist es nicht gelungen, die Cola durch mehrmaliges Aufkochen mit Aktivkohle und anschließender Filtration über einen </w:t>
                  </w:r>
                  <w:proofErr w:type="spellStart"/>
                  <w:r>
                    <w:rPr>
                      <w:color w:val="auto"/>
                    </w:rPr>
                    <w:t>Büchnertrichter</w:t>
                  </w:r>
                  <w:proofErr w:type="spellEnd"/>
                  <w:r>
                    <w:rPr>
                      <w:color w:val="auto"/>
                    </w:rPr>
                    <w:t xml:space="preserve"> zu entfärben, damit ein Indikator wie </w:t>
                  </w:r>
                  <w:proofErr w:type="spellStart"/>
                  <w:r>
                    <w:rPr>
                      <w:color w:val="auto"/>
                    </w:rPr>
                    <w:t>Bromthymolblau</w:t>
                  </w:r>
                  <w:proofErr w:type="spellEnd"/>
                  <w:r>
                    <w:rPr>
                      <w:color w:val="auto"/>
                    </w:rPr>
                    <w:t xml:space="preserve"> die Umschlagspunkte zu veranschaulichen. Die dunkle Farbe der Cola stammt von dem Farbstoff E 150d. Hinter der Abkürzung verbirgt sich Ammoniumsulfit-</w:t>
                  </w:r>
                  <w:proofErr w:type="spellStart"/>
                  <w:r>
                    <w:rPr>
                      <w:color w:val="auto"/>
                    </w:rPr>
                    <w:t>Zuckerkulör</w:t>
                  </w:r>
                  <w:proofErr w:type="spellEnd"/>
                  <w:r>
                    <w:rPr>
                      <w:color w:val="auto"/>
                    </w:rPr>
                    <w:t>. Dieser Versuch ist sehr alltagsnah, da Cola mit zu den beliebtesten Genussgeträ</w:t>
                  </w:r>
                  <w:r>
                    <w:rPr>
                      <w:color w:val="auto"/>
                    </w:rPr>
                    <w:t>n</w:t>
                  </w:r>
                  <w:r>
                    <w:rPr>
                      <w:color w:val="auto"/>
                    </w:rPr>
                    <w:t>ken in der Gesellschaft zählt.</w:t>
                  </w:r>
                </w:p>
              </w:txbxContent>
            </v:textbox>
            <w10:wrap type="none"/>
            <w10:anchorlock/>
          </v:shape>
        </w:pict>
      </w:r>
    </w:p>
    <w:p w:rsidR="00DF0669" w:rsidRDefault="00DF0669"/>
    <w:sectPr w:rsidR="00DF0669" w:rsidSect="00DF066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8483F"/>
    <w:rsid w:val="00115691"/>
    <w:rsid w:val="0078483F"/>
    <w:rsid w:val="009D51FA"/>
    <w:rsid w:val="00DF066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8483F"/>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78483F"/>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78483F"/>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78483F"/>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78483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8483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8483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8483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8483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8483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8483F"/>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78483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78483F"/>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7848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7848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7848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848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8483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848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78483F"/>
    <w:pPr>
      <w:spacing w:line="240" w:lineRule="auto"/>
    </w:pPr>
    <w:rPr>
      <w:bCs/>
      <w:color w:val="auto"/>
      <w:sz w:val="18"/>
      <w:szCs w:val="18"/>
    </w:rPr>
  </w:style>
  <w:style w:type="table" w:styleId="Tabellengitternetz">
    <w:name w:val="Table Grid"/>
    <w:basedOn w:val="NormaleTabelle"/>
    <w:uiPriority w:val="59"/>
    <w:rsid w:val="007848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78483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483F"/>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chart" Target="charts/chart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Kristina\Documents\SVP%20CHEMIE\Protokolle%209&amp;10\Titrationskurve%20der%20Col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de-DE"/>
  <c:chart>
    <c:title>
      <c:tx>
        <c:rich>
          <a:bodyPr/>
          <a:lstStyle/>
          <a:p>
            <a:pPr>
              <a:defRPr/>
            </a:pPr>
            <a:r>
              <a:rPr lang="de-DE"/>
              <a:t>Titrationskurve</a:t>
            </a:r>
            <a:r>
              <a:rPr lang="de-DE" baseline="0"/>
              <a:t> von Cola</a:t>
            </a:r>
            <a:endParaRPr lang="de-DE"/>
          </a:p>
        </c:rich>
      </c:tx>
    </c:title>
    <c:plotArea>
      <c:layout/>
      <c:scatterChart>
        <c:scatterStyle val="smoothMarker"/>
        <c:ser>
          <c:idx val="0"/>
          <c:order val="0"/>
          <c:marker>
            <c:symbol val="none"/>
          </c:marker>
          <c:xVal>
            <c:numRef>
              <c:f>Tabelle1!$A$1:$A$34</c:f>
              <c:numCache>
                <c:formatCode>General</c:formatCode>
                <c:ptCount val="34"/>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9</c:v>
                </c:pt>
                <c:pt idx="18">
                  <c:v>10</c:v>
                </c:pt>
                <c:pt idx="19">
                  <c:v>11</c:v>
                </c:pt>
                <c:pt idx="20">
                  <c:v>12</c:v>
                </c:pt>
                <c:pt idx="21">
                  <c:v>13</c:v>
                </c:pt>
                <c:pt idx="22">
                  <c:v>14</c:v>
                </c:pt>
                <c:pt idx="23">
                  <c:v>15</c:v>
                </c:pt>
                <c:pt idx="24">
                  <c:v>16</c:v>
                </c:pt>
                <c:pt idx="25">
                  <c:v>17</c:v>
                </c:pt>
                <c:pt idx="26">
                  <c:v>17.5</c:v>
                </c:pt>
                <c:pt idx="27">
                  <c:v>18</c:v>
                </c:pt>
                <c:pt idx="28">
                  <c:v>18.5</c:v>
                </c:pt>
                <c:pt idx="29">
                  <c:v>19</c:v>
                </c:pt>
                <c:pt idx="30">
                  <c:v>19.5</c:v>
                </c:pt>
                <c:pt idx="31">
                  <c:v>20</c:v>
                </c:pt>
                <c:pt idx="32">
                  <c:v>20.5</c:v>
                </c:pt>
                <c:pt idx="33">
                  <c:v>21</c:v>
                </c:pt>
              </c:numCache>
            </c:numRef>
          </c:xVal>
          <c:yVal>
            <c:numRef>
              <c:f>Tabelle1!$B$1:$B$34</c:f>
              <c:numCache>
                <c:formatCode>General</c:formatCode>
                <c:ptCount val="34"/>
                <c:pt idx="0">
                  <c:v>2.36</c:v>
                </c:pt>
                <c:pt idx="1">
                  <c:v>2.3699999999999997</c:v>
                </c:pt>
                <c:pt idx="2">
                  <c:v>2.3699999999999997</c:v>
                </c:pt>
                <c:pt idx="3">
                  <c:v>2.38</c:v>
                </c:pt>
                <c:pt idx="4">
                  <c:v>2.3899999999999997</c:v>
                </c:pt>
                <c:pt idx="5">
                  <c:v>2.52</c:v>
                </c:pt>
                <c:pt idx="6">
                  <c:v>2.61</c:v>
                </c:pt>
                <c:pt idx="7">
                  <c:v>2.8099999999999987</c:v>
                </c:pt>
                <c:pt idx="8">
                  <c:v>3.09</c:v>
                </c:pt>
                <c:pt idx="9">
                  <c:v>4.09</c:v>
                </c:pt>
                <c:pt idx="10">
                  <c:v>5.49</c:v>
                </c:pt>
                <c:pt idx="11">
                  <c:v>6.06</c:v>
                </c:pt>
                <c:pt idx="12">
                  <c:v>6.33</c:v>
                </c:pt>
                <c:pt idx="13">
                  <c:v>6.6199999999999966</c:v>
                </c:pt>
                <c:pt idx="14">
                  <c:v>6.8</c:v>
                </c:pt>
                <c:pt idx="15">
                  <c:v>7.01</c:v>
                </c:pt>
                <c:pt idx="16">
                  <c:v>7.21</c:v>
                </c:pt>
                <c:pt idx="17">
                  <c:v>7.72</c:v>
                </c:pt>
                <c:pt idx="18">
                  <c:v>8.52</c:v>
                </c:pt>
                <c:pt idx="19">
                  <c:v>9.18</c:v>
                </c:pt>
                <c:pt idx="20">
                  <c:v>9.5300000000000011</c:v>
                </c:pt>
                <c:pt idx="21">
                  <c:v>9.75</c:v>
                </c:pt>
                <c:pt idx="22">
                  <c:v>9.9</c:v>
                </c:pt>
                <c:pt idx="23">
                  <c:v>10.040000000000001</c:v>
                </c:pt>
                <c:pt idx="24">
                  <c:v>10.120000000000001</c:v>
                </c:pt>
                <c:pt idx="25">
                  <c:v>10.220000000000001</c:v>
                </c:pt>
                <c:pt idx="26">
                  <c:v>10.26</c:v>
                </c:pt>
                <c:pt idx="27">
                  <c:v>10.28</c:v>
                </c:pt>
                <c:pt idx="28">
                  <c:v>10.31</c:v>
                </c:pt>
                <c:pt idx="29">
                  <c:v>10.350000000000026</c:v>
                </c:pt>
                <c:pt idx="30">
                  <c:v>10.370000000000006</c:v>
                </c:pt>
                <c:pt idx="31">
                  <c:v>10.41</c:v>
                </c:pt>
                <c:pt idx="32">
                  <c:v>10.43</c:v>
                </c:pt>
                <c:pt idx="33">
                  <c:v>10.450000000000006</c:v>
                </c:pt>
              </c:numCache>
            </c:numRef>
          </c:yVal>
          <c:smooth val="1"/>
        </c:ser>
        <c:axId val="148994304"/>
        <c:axId val="149021056"/>
      </c:scatterChart>
      <c:valAx>
        <c:axId val="148994304"/>
        <c:scaling>
          <c:orientation val="minMax"/>
          <c:max val="21"/>
          <c:min val="0"/>
        </c:scaling>
        <c:axPos val="b"/>
        <c:title>
          <c:tx>
            <c:rich>
              <a:bodyPr/>
              <a:lstStyle/>
              <a:p>
                <a:pPr>
                  <a:defRPr/>
                </a:pPr>
                <a:r>
                  <a:rPr lang="en-US"/>
                  <a:t>V(NaOH)[ml]</a:t>
                </a:r>
              </a:p>
            </c:rich>
          </c:tx>
        </c:title>
        <c:numFmt formatCode="General" sourceLinked="1"/>
        <c:tickLblPos val="nextTo"/>
        <c:crossAx val="149021056"/>
        <c:crosses val="autoZero"/>
        <c:crossBetween val="midCat"/>
      </c:valAx>
      <c:valAx>
        <c:axId val="149021056"/>
        <c:scaling>
          <c:orientation val="minMax"/>
          <c:min val="2.2999999999999998"/>
        </c:scaling>
        <c:axPos val="l"/>
        <c:majorGridlines/>
        <c:title>
          <c:tx>
            <c:rich>
              <a:bodyPr rot="-5400000" vert="horz"/>
              <a:lstStyle/>
              <a:p>
                <a:pPr>
                  <a:defRPr/>
                </a:pPr>
                <a:r>
                  <a:rPr lang="en-US"/>
                  <a:t>pH-Wert</a:t>
                </a:r>
              </a:p>
            </c:rich>
          </c:tx>
        </c:title>
        <c:numFmt formatCode="General" sourceLinked="1"/>
        <c:tickLblPos val="nextTo"/>
        <c:crossAx val="148994304"/>
        <c:crosses val="autoZero"/>
        <c:crossBetween val="midCat"/>
      </c:valAx>
    </c:plotArea>
    <c:plotVisOnly val="1"/>
    <c:dispBlanksAs val="gap"/>
  </c:chart>
  <c:externalData r:id="rId1"/>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979</Words>
  <Characters>6174</Characters>
  <Application>Microsoft Office Word</Application>
  <DocSecurity>0</DocSecurity>
  <Lines>51</Lines>
  <Paragraphs>14</Paragraphs>
  <ScaleCrop>false</ScaleCrop>
  <Company>HAASE</Company>
  <LinksUpToDate>false</LinksUpToDate>
  <CharactersWithSpaces>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Kristina</cp:lastModifiedBy>
  <cp:revision>1</cp:revision>
  <dcterms:created xsi:type="dcterms:W3CDTF">2016-08-10T11:00:00Z</dcterms:created>
  <dcterms:modified xsi:type="dcterms:W3CDTF">2016-08-10T11:01:00Z</dcterms:modified>
</cp:coreProperties>
</file>