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D61" w:rsidRPr="000C0D61" w:rsidRDefault="000C0D61" w:rsidP="000C0D61">
      <w:pPr>
        <w:pStyle w:val="berschrift2"/>
        <w:numPr>
          <w:ilvl w:val="0"/>
          <w:numId w:val="0"/>
        </w:numPr>
        <w:ind w:left="576" w:hanging="576"/>
        <w:rPr>
          <w:rFonts w:ascii="Cambria" w:hAnsi="Cambria"/>
          <w:color w:val="auto"/>
        </w:rPr>
      </w:pPr>
      <w:bookmarkStart w:id="0" w:name="_Toc457750022"/>
      <w:bookmarkStart w:id="1" w:name="_GoBack"/>
      <w:r w:rsidRPr="000C0D61">
        <w:rPr>
          <w:rFonts w:ascii="Cambria" w:hAnsi="Cambria"/>
          <w:noProof/>
          <w:lang w:eastAsia="de-DE"/>
        </w:rPr>
        <mc:AlternateContent>
          <mc:Choice Requires="wps">
            <w:drawing>
              <wp:anchor distT="0" distB="0" distL="114300" distR="114300" simplePos="0" relativeHeight="251659264" behindDoc="0" locked="0" layoutInCell="1" allowOverlap="1" wp14:anchorId="099B0E43" wp14:editId="1C7EE20E">
                <wp:simplePos x="0" y="0"/>
                <wp:positionH relativeFrom="column">
                  <wp:posOffset>-4445</wp:posOffset>
                </wp:positionH>
                <wp:positionV relativeFrom="paragraph">
                  <wp:posOffset>507365</wp:posOffset>
                </wp:positionV>
                <wp:extent cx="5873115" cy="1009650"/>
                <wp:effectExtent l="0" t="0" r="13335" b="19050"/>
                <wp:wrapSquare wrapText="bothSides"/>
                <wp:docPr id="1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096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D61" w:rsidRPr="00F31EBF" w:rsidRDefault="000C0D61" w:rsidP="000C0D61">
                            <w:pPr>
                              <w:rPr>
                                <w:color w:val="auto"/>
                              </w:rPr>
                            </w:pPr>
                            <w:r>
                              <w:rPr>
                                <w:color w:val="auto"/>
                              </w:rPr>
                              <w:t>Bromide finden sich nur selten in unserem Alltag. Der folgende Versuch beschreibt die Reaktion von Aluminium und Brom zu Aluminiumbromid, welche unbedingt unter dem Abzug durchzuführen ist. Die SuS benötigen an Vorwissen, dass Metalle und Halogene zu Metallhalogeniden reagieren sowie den erweiterten Redoxbegriff.</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9B0E43" id="_x0000_t202" coordsize="21600,21600" o:spt="202" path="m,l,21600r21600,l21600,xe">
                <v:stroke joinstyle="miter"/>
                <v:path gradientshapeok="t" o:connecttype="rect"/>
              </v:shapetype>
              <v:shape id="Text Box 60" o:spid="_x0000_s1026" type="#_x0000_t202" style="position:absolute;left:0;text-align:left;margin-left:-.35pt;margin-top:39.95pt;width:462.4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" fillcolor="white [3201]" strokecolor="#4472c4 [3208]" strokeweight="1pt">
                <v:stroke dashstyle="dash"/>
                <v:shadow color="#868686"/>
                <v:textbox>
                  <w:txbxContent>
                    <w:p w:rsidR="000C0D61" w:rsidRPr="00F31EBF" w:rsidRDefault="000C0D61" w:rsidP="000C0D61">
                      <w:pPr>
                        <w:rPr>
                          <w:color w:val="auto"/>
                        </w:rPr>
                      </w:pPr>
                      <w:r>
                        <w:rPr>
                          <w:color w:val="auto"/>
                        </w:rPr>
                        <w:t>Bromide finden sich nur selten in unserem Alltag. Der folgende Versuch beschreibt die Reaktion von Aluminium und Brom zu Aluminiumbromid, welche unbedingt unter dem Abzug durchzuführen ist. Die SuS benötigen an Vorwissen, dass Metalle und Halogene zu Metallhalogeniden reagieren sowie den erweiterten Redoxbegriff.</w:t>
                      </w:r>
                    </w:p>
                  </w:txbxContent>
                </v:textbox>
                <w10:wrap type="square"/>
              </v:shape>
            </w:pict>
          </mc:Fallback>
        </mc:AlternateContent>
      </w:r>
      <w:r w:rsidRPr="000C0D61">
        <w:rPr>
          <w:rFonts w:ascii="Cambria" w:hAnsi="Cambria"/>
          <w:color w:val="auto"/>
        </w:rPr>
        <w:t>Bromfeuer</w:t>
      </w:r>
      <w:bookmarkEnd w:id="0"/>
    </w:p>
    <w:bookmarkEnd w:id="1"/>
    <w:p w:rsidR="000C0D61" w:rsidRDefault="000C0D61" w:rsidP="000C0D61"/>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0C0D61" w:rsidRPr="009C5E28" w:rsidTr="009118F4">
        <w:tc>
          <w:tcPr>
            <w:tcW w:w="9322" w:type="dxa"/>
            <w:gridSpan w:val="9"/>
            <w:shd w:val="clear" w:color="auto" w:fill="4F81BD"/>
            <w:vAlign w:val="center"/>
          </w:tcPr>
          <w:p w:rsidR="000C0D61" w:rsidRPr="00F31EBF" w:rsidRDefault="000C0D61" w:rsidP="009118F4">
            <w:pPr>
              <w:spacing w:after="0"/>
              <w:jc w:val="center"/>
              <w:rPr>
                <w:b/>
                <w:bCs/>
                <w:color w:val="FFFFFF" w:themeColor="background1"/>
              </w:rPr>
            </w:pPr>
            <w:r w:rsidRPr="00F31EBF">
              <w:rPr>
                <w:b/>
                <w:bCs/>
                <w:color w:val="FFFFFF" w:themeColor="background1"/>
              </w:rPr>
              <w:t>Gefahrenstoffe</w:t>
            </w:r>
          </w:p>
        </w:tc>
      </w:tr>
      <w:tr w:rsidR="000C0D61" w:rsidRPr="009C5E28" w:rsidTr="009118F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C0D61" w:rsidRPr="009C5E28" w:rsidRDefault="000C0D61" w:rsidP="009118F4">
            <w:pPr>
              <w:spacing w:after="0" w:line="276" w:lineRule="auto"/>
              <w:jc w:val="center"/>
              <w:rPr>
                <w:b/>
                <w:bCs/>
              </w:rPr>
            </w:pPr>
            <w:r>
              <w:rPr>
                <w:sz w:val="20"/>
              </w:rPr>
              <w:t>Brom</w:t>
            </w:r>
          </w:p>
        </w:tc>
        <w:tc>
          <w:tcPr>
            <w:tcW w:w="3177" w:type="dxa"/>
            <w:gridSpan w:val="3"/>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sidRPr="009C5E28">
              <w:rPr>
                <w:sz w:val="20"/>
              </w:rPr>
              <w:t xml:space="preserve">H: </w:t>
            </w:r>
            <w:hyperlink r:id="rId5" w:anchor="H-S.C3.A4tze" w:tooltip="H- und P-Sätze" w:history="1">
              <w:r>
                <w:rPr>
                  <w:rStyle w:val="Hyperlink"/>
                  <w:color w:val="auto"/>
                  <w:sz w:val="20"/>
                </w:rPr>
                <w:t>330-314-400</w:t>
              </w:r>
            </w:hyperlink>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C0D61" w:rsidRPr="009C5E28" w:rsidRDefault="000C0D61" w:rsidP="009118F4">
            <w:pPr>
              <w:spacing w:after="0" w:line="240" w:lineRule="auto"/>
              <w:jc w:val="center"/>
            </w:pPr>
            <w:r w:rsidRPr="009C5E28">
              <w:rPr>
                <w:sz w:val="20"/>
              </w:rPr>
              <w:t xml:space="preserve">P: </w:t>
            </w:r>
            <w:hyperlink r:id="rId6" w:anchor="P-S.C3.A4tze" w:tooltip="H- und P-Sätze" w:history="1">
              <w:r w:rsidRPr="009C5E28">
                <w:rPr>
                  <w:rStyle w:val="Hyperlink"/>
                  <w:color w:val="auto"/>
                  <w:sz w:val="20"/>
                </w:rPr>
                <w:t>2</w:t>
              </w:r>
              <w:r>
                <w:rPr>
                  <w:rStyle w:val="Hyperlink"/>
                  <w:color w:val="auto"/>
                  <w:sz w:val="20"/>
                </w:rPr>
                <w:t>1</w:t>
              </w:r>
              <w:r w:rsidRPr="009C5E28">
                <w:rPr>
                  <w:rStyle w:val="Hyperlink"/>
                  <w:color w:val="auto"/>
                  <w:sz w:val="20"/>
                </w:rPr>
                <w:t>0</w:t>
              </w:r>
            </w:hyperlink>
            <w:r>
              <w:rPr>
                <w:sz w:val="20"/>
              </w:rPr>
              <w:t>-273-</w:t>
            </w:r>
            <w:r w:rsidRPr="009C5E28">
              <w:rPr>
                <w:sz w:val="20"/>
              </w:rPr>
              <w:t>​</w:t>
            </w:r>
            <w:r>
              <w:rPr>
                <w:sz w:val="20"/>
              </w:rPr>
              <w:t>304+340-</w:t>
            </w:r>
            <w:hyperlink r:id="rId7" w:anchor="P-S.C3.A4tze" w:tooltip="H- und P-Sätze" w:history="1">
              <w:r w:rsidRPr="009C5E28">
                <w:rPr>
                  <w:rStyle w:val="Hyperlink"/>
                  <w:color w:val="auto"/>
                  <w:sz w:val="20"/>
                </w:rPr>
                <w:t>30</w:t>
              </w:r>
              <w:r>
                <w:rPr>
                  <w:rStyle w:val="Hyperlink"/>
                  <w:color w:val="auto"/>
                  <w:sz w:val="20"/>
                </w:rPr>
                <w:t>5</w:t>
              </w:r>
              <w:r w:rsidRPr="009C5E28">
                <w:rPr>
                  <w:rStyle w:val="Hyperlink"/>
                  <w:color w:val="auto"/>
                  <w:sz w:val="20"/>
                </w:rPr>
                <w:t>+3</w:t>
              </w:r>
              <w:r>
                <w:rPr>
                  <w:rStyle w:val="Hyperlink"/>
                  <w:color w:val="auto"/>
                  <w:sz w:val="20"/>
                </w:rPr>
                <w:t>51</w:t>
              </w:r>
              <w:r w:rsidRPr="009C5E28">
                <w:rPr>
                  <w:rStyle w:val="Hyperlink"/>
                  <w:color w:val="auto"/>
                  <w:sz w:val="20"/>
                </w:rPr>
                <w:t>+33</w:t>
              </w:r>
            </w:hyperlink>
            <w:r>
              <w:rPr>
                <w:rStyle w:val="Hyperlink"/>
                <w:color w:val="auto"/>
                <w:sz w:val="20"/>
              </w:rPr>
              <w:t>8-309+310-403+233</w:t>
            </w:r>
          </w:p>
        </w:tc>
      </w:tr>
      <w:tr w:rsidR="000C0D61" w:rsidRPr="009C5E28" w:rsidTr="009118F4">
        <w:trPr>
          <w:trHeight w:val="434"/>
        </w:trPr>
        <w:tc>
          <w:tcPr>
            <w:tcW w:w="3027" w:type="dxa"/>
            <w:gridSpan w:val="3"/>
            <w:tcBorders>
              <w:bottom w:val="single" w:sz="4" w:space="0" w:color="5B9BD5" w:themeColor="accent1"/>
            </w:tcBorders>
            <w:shd w:val="clear" w:color="auto" w:fill="auto"/>
            <w:vAlign w:val="center"/>
          </w:tcPr>
          <w:p w:rsidR="000C0D61" w:rsidRPr="009C5E28" w:rsidRDefault="000C0D61" w:rsidP="009118F4">
            <w:pPr>
              <w:spacing w:after="0" w:line="276" w:lineRule="auto"/>
              <w:jc w:val="center"/>
              <w:rPr>
                <w:bCs/>
                <w:sz w:val="20"/>
              </w:rPr>
            </w:pPr>
            <w:proofErr w:type="spellStart"/>
            <w:r>
              <w:rPr>
                <w:color w:val="auto"/>
                <w:sz w:val="20"/>
                <w:szCs w:val="20"/>
              </w:rPr>
              <w:t>Natriumthiosulfat-Pentahydrat</w:t>
            </w:r>
            <w:proofErr w:type="spellEnd"/>
          </w:p>
        </w:tc>
        <w:tc>
          <w:tcPr>
            <w:tcW w:w="3177" w:type="dxa"/>
            <w:gridSpan w:val="3"/>
            <w:tcBorders>
              <w:bottom w:val="single" w:sz="4" w:space="0" w:color="5B9BD5" w:themeColor="accent1"/>
            </w:tcBorders>
            <w:shd w:val="clear" w:color="auto" w:fill="auto"/>
            <w:vAlign w:val="center"/>
          </w:tcPr>
          <w:p w:rsidR="000C0D61" w:rsidRPr="009C5E28" w:rsidRDefault="000C0D61" w:rsidP="000C0D61">
            <w:pPr>
              <w:pStyle w:val="Beschriftung"/>
              <w:numPr>
                <w:ilvl w:val="0"/>
                <w:numId w:val="2"/>
              </w:numPr>
              <w:spacing w:after="0"/>
              <w:jc w:val="center"/>
              <w:rPr>
                <w:sz w:val="20"/>
              </w:rPr>
            </w:pPr>
          </w:p>
        </w:tc>
        <w:tc>
          <w:tcPr>
            <w:tcW w:w="3118" w:type="dxa"/>
            <w:gridSpan w:val="3"/>
            <w:tcBorders>
              <w:bottom w:val="single" w:sz="4" w:space="0" w:color="5B9BD5" w:themeColor="accent1"/>
            </w:tcBorders>
            <w:shd w:val="clear" w:color="auto" w:fill="auto"/>
            <w:vAlign w:val="center"/>
          </w:tcPr>
          <w:p w:rsidR="000C0D61" w:rsidRPr="009C5E28" w:rsidRDefault="000C0D61" w:rsidP="009118F4">
            <w:pPr>
              <w:pStyle w:val="Beschriftung"/>
              <w:spacing w:after="0"/>
              <w:jc w:val="center"/>
              <w:rPr>
                <w:sz w:val="20"/>
              </w:rPr>
            </w:pPr>
            <w:r>
              <w:rPr>
                <w:sz w:val="20"/>
              </w:rPr>
              <w:t>-</w:t>
            </w:r>
          </w:p>
        </w:tc>
      </w:tr>
      <w:tr w:rsidR="000C0D61" w:rsidRPr="009C5E28" w:rsidTr="009118F4">
        <w:trPr>
          <w:trHeight w:val="434"/>
        </w:trPr>
        <w:tc>
          <w:tcPr>
            <w:tcW w:w="3027" w:type="dxa"/>
            <w:gridSpan w:val="3"/>
            <w:tcBorders>
              <w:top w:val="single" w:sz="4" w:space="0" w:color="5B9BD5" w:themeColor="accent1"/>
            </w:tcBorders>
            <w:shd w:val="clear" w:color="auto" w:fill="auto"/>
            <w:vAlign w:val="center"/>
          </w:tcPr>
          <w:p w:rsidR="000C0D61" w:rsidRDefault="000C0D61" w:rsidP="009118F4">
            <w:pPr>
              <w:spacing w:after="0" w:line="276" w:lineRule="auto"/>
              <w:jc w:val="center"/>
              <w:rPr>
                <w:color w:val="auto"/>
                <w:sz w:val="20"/>
                <w:szCs w:val="20"/>
              </w:rPr>
            </w:pPr>
            <w:r>
              <w:rPr>
                <w:color w:val="auto"/>
                <w:sz w:val="20"/>
                <w:szCs w:val="20"/>
              </w:rPr>
              <w:t>Aluminiumbromid</w:t>
            </w:r>
          </w:p>
        </w:tc>
        <w:tc>
          <w:tcPr>
            <w:tcW w:w="3177" w:type="dxa"/>
            <w:gridSpan w:val="3"/>
            <w:tcBorders>
              <w:top w:val="single" w:sz="4" w:space="0" w:color="5B9BD5" w:themeColor="accent1"/>
            </w:tcBorders>
            <w:shd w:val="clear" w:color="auto" w:fill="auto"/>
            <w:vAlign w:val="center"/>
          </w:tcPr>
          <w:p w:rsidR="000C0D61" w:rsidRDefault="000C0D61" w:rsidP="009118F4">
            <w:pPr>
              <w:pStyle w:val="Beschriftung"/>
              <w:spacing w:after="0"/>
              <w:jc w:val="center"/>
              <w:rPr>
                <w:sz w:val="20"/>
              </w:rPr>
            </w:pPr>
            <w:r>
              <w:rPr>
                <w:sz w:val="20"/>
              </w:rPr>
              <w:t>H: 302-314-290</w:t>
            </w:r>
          </w:p>
        </w:tc>
        <w:tc>
          <w:tcPr>
            <w:tcW w:w="3118" w:type="dxa"/>
            <w:gridSpan w:val="3"/>
            <w:tcBorders>
              <w:top w:val="single" w:sz="4" w:space="0" w:color="5B9BD5" w:themeColor="accent1"/>
            </w:tcBorders>
            <w:shd w:val="clear" w:color="auto" w:fill="auto"/>
            <w:vAlign w:val="center"/>
          </w:tcPr>
          <w:p w:rsidR="000C0D61" w:rsidRDefault="000C0D61" w:rsidP="009118F4">
            <w:pPr>
              <w:pStyle w:val="Beschriftung"/>
              <w:spacing w:after="0"/>
              <w:jc w:val="center"/>
              <w:rPr>
                <w:sz w:val="20"/>
              </w:rPr>
            </w:pPr>
            <w:r>
              <w:rPr>
                <w:sz w:val="20"/>
              </w:rPr>
              <w:t>P: 280-301+330+331-305+351+338-309+310</w:t>
            </w:r>
          </w:p>
        </w:tc>
      </w:tr>
      <w:tr w:rsidR="000C0D61" w:rsidRPr="009C5E28" w:rsidTr="009118F4">
        <w:tc>
          <w:tcPr>
            <w:tcW w:w="1009" w:type="dxa"/>
            <w:tcBorders>
              <w:top w:val="single" w:sz="8" w:space="0" w:color="4F81BD"/>
              <w:left w:val="single" w:sz="8" w:space="0" w:color="4F81BD"/>
              <w:bottom w:val="single" w:sz="8" w:space="0" w:color="4F81BD"/>
            </w:tcBorders>
            <w:shd w:val="clear" w:color="auto" w:fill="auto"/>
            <w:vAlign w:val="center"/>
          </w:tcPr>
          <w:p w:rsidR="000C0D61" w:rsidRPr="009C5E28" w:rsidRDefault="000C0D61" w:rsidP="009118F4">
            <w:pPr>
              <w:spacing w:after="0"/>
              <w:jc w:val="center"/>
              <w:rPr>
                <w:b/>
                <w:bCs/>
              </w:rPr>
            </w:pPr>
            <w:r>
              <w:rPr>
                <w:b/>
                <w:noProof/>
                <w:lang w:eastAsia="de-DE"/>
              </w:rPr>
              <w:drawing>
                <wp:inline distT="0" distB="0" distL="0" distR="0" wp14:anchorId="52AB3508" wp14:editId="0D1E61D4">
                  <wp:extent cx="504190" cy="504190"/>
                  <wp:effectExtent l="0" t="0" r="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619BC766" wp14:editId="303D758A">
                  <wp:extent cx="504190" cy="504190"/>
                  <wp:effectExtent l="0" t="0" r="0" b="0"/>
                  <wp:docPr id="22"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40D2EEAC" wp14:editId="771B1785">
                  <wp:extent cx="504190" cy="504190"/>
                  <wp:effectExtent l="0" t="0" r="0" b="0"/>
                  <wp:docPr id="23" name="Grafi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65623DC1" wp14:editId="04E7F972">
                  <wp:extent cx="504190" cy="50419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52594635" wp14:editId="45E73725">
                  <wp:extent cx="504190" cy="504190"/>
                  <wp:effectExtent l="0" t="0" r="0" b="0"/>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523B62C1" wp14:editId="4B48578F">
                  <wp:extent cx="504190" cy="504190"/>
                  <wp:effectExtent l="0" t="0" r="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bottom"/>
          </w:tcPr>
          <w:p w:rsidR="000C0D61" w:rsidRPr="009C5E28" w:rsidRDefault="000C0D61" w:rsidP="009118F4">
            <w:pPr>
              <w:spacing w:after="0"/>
              <w:jc w:val="center"/>
            </w:pPr>
            <w:r w:rsidRPr="0049146D">
              <w:rPr>
                <w:noProof/>
                <w:lang w:eastAsia="de-DE"/>
              </w:rPr>
              <w:drawing>
                <wp:inline distT="0" distB="0" distL="0" distR="0" wp14:anchorId="3153F3CC" wp14:editId="7CBCB3B2">
                  <wp:extent cx="511200" cy="511200"/>
                  <wp:effectExtent l="0" t="0" r="3175" b="3175"/>
                  <wp:docPr id="32" name="Grafik 32" descr="C:\Users\Annika\Desktop\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ika\Desktop\Piktogramme\Giftig.png"/>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11200" cy="51120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6E46A4A7" wp14:editId="27279793">
                  <wp:extent cx="511175" cy="51117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C0D61" w:rsidRPr="009C5E28" w:rsidRDefault="000C0D61" w:rsidP="009118F4">
            <w:pPr>
              <w:spacing w:after="0"/>
              <w:jc w:val="center"/>
            </w:pPr>
            <w:r>
              <w:rPr>
                <w:noProof/>
                <w:lang w:eastAsia="de-DE"/>
              </w:rPr>
              <w:drawing>
                <wp:inline distT="0" distB="0" distL="0" distR="0" wp14:anchorId="34EEB473" wp14:editId="448D75A5">
                  <wp:extent cx="504190" cy="504190"/>
                  <wp:effectExtent l="0" t="0" r="0" b="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C0D61" w:rsidRDefault="000C0D61" w:rsidP="000C0D61">
      <w:pPr>
        <w:tabs>
          <w:tab w:val="left" w:pos="1701"/>
          <w:tab w:val="left" w:pos="1985"/>
        </w:tabs>
        <w:ind w:left="1980" w:hanging="1980"/>
      </w:pPr>
    </w:p>
    <w:p w:rsidR="000C0D61" w:rsidRDefault="000C0D61" w:rsidP="000C0D61">
      <w:pPr>
        <w:tabs>
          <w:tab w:val="left" w:pos="1701"/>
          <w:tab w:val="left" w:pos="1985"/>
        </w:tabs>
        <w:ind w:left="1980" w:hanging="1980"/>
      </w:pPr>
      <w:r>
        <w:t xml:space="preserve">Materialien: </w:t>
      </w:r>
      <w:r>
        <w:tab/>
      </w:r>
      <w:r>
        <w:tab/>
      </w:r>
      <w:proofErr w:type="spellStart"/>
      <w:r>
        <w:t>Duranglas</w:t>
      </w:r>
      <w:proofErr w:type="spellEnd"/>
      <w:r>
        <w:t>, Pipette</w:t>
      </w:r>
    </w:p>
    <w:p w:rsidR="000C0D61" w:rsidRPr="00CC2508" w:rsidRDefault="000C0D61" w:rsidP="000C0D61">
      <w:pPr>
        <w:tabs>
          <w:tab w:val="left" w:pos="1701"/>
          <w:tab w:val="left" w:pos="1985"/>
        </w:tabs>
        <w:ind w:left="1980" w:hanging="1980"/>
        <w:rPr>
          <w:color w:val="auto"/>
        </w:rPr>
      </w:pPr>
      <w:r>
        <w:t>Chemikalien:</w:t>
      </w:r>
      <w:r>
        <w:tab/>
      </w:r>
      <w:r>
        <w:tab/>
        <w:t xml:space="preserve">Brom, Aluminiumfolie, </w:t>
      </w:r>
      <w:proofErr w:type="spellStart"/>
      <w:r>
        <w:t>Natriumthiosulfat</w:t>
      </w:r>
      <w:proofErr w:type="spellEnd"/>
      <w:r>
        <w:t>-Lösung</w:t>
      </w:r>
    </w:p>
    <w:p w:rsidR="000C0D61" w:rsidRDefault="000C0D61" w:rsidP="000C0D61">
      <w:pPr>
        <w:tabs>
          <w:tab w:val="left" w:pos="1701"/>
          <w:tab w:val="left" w:pos="1985"/>
        </w:tabs>
        <w:ind w:left="1980" w:hanging="1980"/>
      </w:pPr>
      <w:r>
        <w:t xml:space="preserve">Durchführung: </w:t>
      </w:r>
      <w:r>
        <w:tab/>
      </w:r>
      <w:r>
        <w:tab/>
      </w:r>
      <w:r>
        <w:tab/>
        <w:t xml:space="preserve">In ein im Stativ eingespanntes </w:t>
      </w:r>
      <w:proofErr w:type="spellStart"/>
      <w:r>
        <w:t>Duranglas</w:t>
      </w:r>
      <w:proofErr w:type="spellEnd"/>
      <w:r>
        <w:t xml:space="preserve"> wird ca. 1 </w:t>
      </w:r>
      <w:proofErr w:type="spellStart"/>
      <w:r>
        <w:t>mL</w:t>
      </w:r>
      <w:proofErr w:type="spellEnd"/>
      <w:r>
        <w:t xml:space="preserve"> Brom gefüllt und zwei erbsengroße Kugeln Aluminium darin fallen gelassen. Der Versuch kann solange mit neuem Aluminium wiederholt werden, bis das gesamte Brom verbraucht ist. </w:t>
      </w:r>
    </w:p>
    <w:p w:rsidR="000C0D61" w:rsidRDefault="000C0D61" w:rsidP="000C0D61">
      <w:pPr>
        <w:tabs>
          <w:tab w:val="left" w:pos="1701"/>
          <w:tab w:val="left" w:pos="1985"/>
        </w:tabs>
        <w:ind w:left="1980" w:hanging="1980"/>
      </w:pPr>
      <w:r>
        <w:t>Beobachtung:</w:t>
      </w:r>
      <w:r>
        <w:tab/>
      </w:r>
      <w:r>
        <w:tab/>
      </w:r>
      <w:r>
        <w:tab/>
        <w:t>Nach kurzer Zeit entsteht roter Dampf und man beobachtet rote Funken.</w:t>
      </w:r>
    </w:p>
    <w:p w:rsidR="000C0D61" w:rsidRPr="00680E19" w:rsidRDefault="000C0D61" w:rsidP="000C0D61">
      <w:pPr>
        <w:tabs>
          <w:tab w:val="left" w:pos="1701"/>
          <w:tab w:val="left" w:pos="1985"/>
        </w:tabs>
        <w:ind w:left="1980" w:hanging="1980"/>
        <w:jc w:val="center"/>
        <w:rPr>
          <w:lang w:val="en-US"/>
        </w:rPr>
      </w:pPr>
      <w:r w:rsidRPr="00423D1B">
        <w:rPr>
          <w:noProof/>
          <w:lang w:eastAsia="de-DE"/>
        </w:rPr>
        <w:lastRenderedPageBreak/>
        <w:drawing>
          <wp:inline distT="0" distB="0" distL="0" distR="0" wp14:anchorId="01E71AEE" wp14:editId="1A00C3BA">
            <wp:extent cx="2600325" cy="3819525"/>
            <wp:effectExtent l="114300" t="114300" r="142875" b="142875"/>
            <wp:docPr id="33" name="Grafik 33" descr="C:\Users\Annika\Documents\Studium\Fachdidaktik\Chemiedidaktik\SVP\Fotos 9+10\IMG_1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ika\Documents\Studium\Fachdidaktik\Chemiedidaktik\SVP\Fotos 9+10\IMG_1830.JPG"/>
                    <pic:cNvPicPr>
                      <a:picLocks noChangeAspect="1" noChangeArrowheads="1"/>
                    </pic:cNvPicPr>
                  </pic:nvPicPr>
                  <pic:blipFill rotWithShape="1">
                    <a:blip r:embed="rId17" cstate="email">
                      <a:extLst>
                        <a:ext uri="{28A0092B-C50C-407E-A947-70E740481C1C}">
                          <a14:useLocalDpi xmlns:a14="http://schemas.microsoft.com/office/drawing/2010/main"/>
                        </a:ext>
                      </a:extLst>
                    </a:blip>
                    <a:srcRect/>
                    <a:stretch/>
                  </pic:blipFill>
                  <pic:spPr bwMode="auto">
                    <a:xfrm>
                      <a:off x="0" y="0"/>
                      <a:ext cx="2600325" cy="38195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inline>
        </w:drawing>
      </w:r>
    </w:p>
    <w:p w:rsidR="000C0D61" w:rsidRDefault="000C0D61" w:rsidP="000C0D61">
      <w:pPr>
        <w:pStyle w:val="Beschriftung"/>
        <w:jc w:val="center"/>
        <w:rPr>
          <w:noProof/>
        </w:rPr>
      </w:pPr>
      <w:r w:rsidRPr="006471A6">
        <w:t xml:space="preserve">Abb. </w:t>
      </w:r>
      <w:r>
        <w:t>2 -</w:t>
      </w:r>
      <w:r>
        <w:rPr>
          <w:noProof/>
        </w:rPr>
        <w:t xml:space="preserve"> „Bromfeuer“ mit Aluminium.</w:t>
      </w:r>
    </w:p>
    <w:p w:rsidR="000C0D61" w:rsidRPr="006471A6" w:rsidRDefault="000C0D61" w:rsidP="000C0D61"/>
    <w:p w:rsidR="000C0D61" w:rsidRDefault="000C0D61" w:rsidP="000C0D61">
      <w:pPr>
        <w:tabs>
          <w:tab w:val="left" w:pos="1701"/>
          <w:tab w:val="left" w:pos="1985"/>
        </w:tabs>
        <w:ind w:left="2124" w:hanging="2124"/>
      </w:pPr>
      <w:r>
        <w:t>Deutung:</w:t>
      </w:r>
      <w:r>
        <w:tab/>
      </w:r>
      <w:r>
        <w:tab/>
      </w:r>
      <w:r>
        <w:tab/>
        <w:t xml:space="preserve">Das Aluminium reagiert stark exotherm mit dem Brom. </w:t>
      </w:r>
    </w:p>
    <w:p w:rsidR="000C0D61" w:rsidRDefault="000C0D61" w:rsidP="000C0D61">
      <w:pPr>
        <w:tabs>
          <w:tab w:val="left" w:pos="1701"/>
          <w:tab w:val="left" w:pos="1985"/>
        </w:tabs>
        <w:ind w:left="2124" w:hanging="2124"/>
        <w:rPr>
          <w:rFonts w:eastAsiaTheme="minorEastAsia"/>
        </w:rPr>
      </w:pPr>
      <w:r>
        <w:tab/>
      </w:r>
      <w:r>
        <w:tab/>
      </w:r>
      <w:r>
        <w:tab/>
      </w:r>
      <m:oMath>
        <m:sSubSup>
          <m:sSubSupPr>
            <m:ctrlPr>
              <w:rPr>
                <w:rFonts w:ascii="Cambria Math" w:hAnsi="Cambria Math"/>
              </w:rPr>
            </m:ctrlPr>
          </m:sSubSupPr>
          <m:e>
            <m:r>
              <m:rPr>
                <m:sty m:val="p"/>
              </m:rPr>
              <w:rPr>
                <w:rFonts w:ascii="Cambria Math" w:hAnsi="Cambria Math"/>
              </w:rPr>
              <m:t>2 Al</m:t>
            </m:r>
          </m:e>
          <m:sub>
            <m:d>
              <m:dPr>
                <m:ctrlPr>
                  <w:rPr>
                    <w:rFonts w:ascii="Cambria Math" w:hAnsi="Cambria Math"/>
                  </w:rPr>
                </m:ctrlPr>
              </m:dPr>
              <m:e>
                <m:r>
                  <m:rPr>
                    <m:sty m:val="p"/>
                  </m:rPr>
                  <w:rPr>
                    <w:rFonts w:ascii="Cambria Math" w:hAnsi="Cambria Math"/>
                  </w:rPr>
                  <m:t>s</m:t>
                </m:r>
              </m:e>
            </m:d>
          </m:sub>
          <m:sup/>
        </m:sSubSup>
        <m:r>
          <m:rPr>
            <m:sty m:val="p"/>
          </m:rPr>
          <w:rPr>
            <w:rFonts w:ascii="Cambria Math" w:hAnsi="Cambria Math"/>
          </w:rPr>
          <m:t xml:space="preserve">+3 </m:t>
        </m:r>
        <m:sSub>
          <m:sSubPr>
            <m:ctrlPr>
              <w:rPr>
                <w:rFonts w:ascii="Cambria Math" w:hAnsi="Cambria Math"/>
              </w:rPr>
            </m:ctrlPr>
          </m:sSubPr>
          <m:e>
            <m:r>
              <m:rPr>
                <m:sty m:val="p"/>
              </m:rPr>
              <w:rPr>
                <w:rFonts w:ascii="Cambria Math" w:hAnsi="Cambria Math"/>
              </w:rPr>
              <m:t>Br</m:t>
            </m:r>
          </m:e>
          <m:sub>
            <m:r>
              <m:rPr>
                <m:sty m:val="p"/>
              </m:rPr>
              <w:rPr>
                <w:rFonts w:ascii="Cambria Math" w:hAnsi="Cambria Math"/>
              </w:rPr>
              <m:t xml:space="preserve">2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AlBr</m:t>
            </m:r>
          </m:e>
          <m:sub>
            <m:r>
              <m:rPr>
                <m:sty m:val="p"/>
              </m:rPr>
              <w:rPr>
                <w:rFonts w:ascii="Cambria Math" w:hAnsi="Cambria Math"/>
              </w:rPr>
              <m:t>3 (g)</m:t>
            </m:r>
          </m:sub>
        </m:sSub>
      </m:oMath>
      <w:r>
        <w:rPr>
          <w:rFonts w:eastAsiaTheme="minorEastAsia"/>
        </w:rPr>
        <w:t xml:space="preserve">           </w:t>
      </w:r>
    </w:p>
    <w:p w:rsidR="000C0D61" w:rsidRDefault="000C0D61" w:rsidP="000C0D61">
      <w:pPr>
        <w:tabs>
          <w:tab w:val="left" w:pos="1701"/>
          <w:tab w:val="left" w:pos="1985"/>
        </w:tabs>
        <w:ind w:left="2124" w:hanging="2124"/>
      </w:pPr>
      <w:r>
        <w:t>Entsorgung:</w:t>
      </w:r>
      <w:r>
        <w:tab/>
        <w:t xml:space="preserve">         Sämtliche Bromreste sind mit </w:t>
      </w:r>
      <w:proofErr w:type="spellStart"/>
      <w:r>
        <w:t>Natriumthiosulfat</w:t>
      </w:r>
      <w:proofErr w:type="spellEnd"/>
      <w:r>
        <w:t xml:space="preserve">-Lösung zu </w:t>
      </w:r>
      <w:r w:rsidRPr="00A70A32">
        <w:rPr>
          <w:color w:val="auto"/>
        </w:rPr>
        <w:t>neutralisieren</w:t>
      </w:r>
      <w:r>
        <w:t xml:space="preserve"> und anschließend im Abguss zu entsorgen. Das entstandene Aluminiumbromid wird im Säure-Base-Kanister entsorgt.</w:t>
      </w:r>
    </w:p>
    <w:p w:rsidR="000C0D61" w:rsidRPr="00F74A95" w:rsidRDefault="000C0D61" w:rsidP="000C0D61">
      <w:pPr>
        <w:spacing w:line="276" w:lineRule="auto"/>
        <w:jc w:val="left"/>
        <w:rPr>
          <w:rFonts w:asciiTheme="majorHAnsi" w:hAnsiTheme="majorHAnsi"/>
          <w:b/>
        </w:rPr>
      </w:pPr>
      <w:r>
        <w:t>Literatur:</w:t>
      </w:r>
      <w:r>
        <w:tab/>
      </w:r>
      <w:r>
        <w:tab/>
      </w:r>
    </w:p>
    <w:p w:rsidR="000C0D61" w:rsidRPr="000C0D61" w:rsidRDefault="000C0D61" w:rsidP="000C0D61">
      <w:r w:rsidRPr="000C0D61">
        <w:t xml:space="preserve">[3] </w:t>
      </w:r>
      <w:r w:rsidRPr="000C0D61">
        <w:rPr>
          <w:color w:val="auto"/>
        </w:rPr>
        <w:t>Uni Göttingen</w:t>
      </w:r>
      <w:r w:rsidRPr="000C0D61">
        <w:t>, Praktikumsskript zum Anorganisch-Chemischen Praktikum für Lehramtskandidaten, 2013, S. 178.</w:t>
      </w:r>
    </w:p>
    <w:p w:rsidR="000C0D61" w:rsidRDefault="000C0D61" w:rsidP="000C0D61">
      <w:pPr>
        <w:rPr>
          <w:rFonts w:asciiTheme="majorHAnsi" w:hAnsiTheme="majorHAnsi"/>
        </w:rPr>
      </w:pPr>
      <w:r>
        <w:rPr>
          <w:noProof/>
          <w:lang w:eastAsia="de-DE"/>
        </w:rPr>
        <w:lastRenderedPageBreak/>
        <mc:AlternateContent>
          <mc:Choice Requires="wps">
            <w:drawing>
              <wp:inline distT="0" distB="0" distL="0" distR="0" wp14:anchorId="2A6170F2" wp14:editId="7736AB22">
                <wp:extent cx="5760720" cy="1555845"/>
                <wp:effectExtent l="0" t="0" r="11430" b="25400"/>
                <wp:docPr id="34"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5584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C0D61" w:rsidRPr="00A71386" w:rsidRDefault="000C0D61" w:rsidP="000C0D61">
                            <w:pPr>
                              <w:rPr>
                                <w:color w:val="auto"/>
                              </w:rPr>
                            </w:pPr>
                            <w:r>
                              <w:rPr>
                                <w:color w:val="auto"/>
                              </w:rPr>
                              <w:t>An diesen Versuch anschließend lässt sich die Reaktivität von Halogenen genauer thematisieren. Chlor ist beispielsweise reaktiver als Brom aufgrund des höheren Elektronegativitätswertes. Versuche mit Chlorgas sind in der Schule aufgrund des hohen Gefährdungspotentials nach Möglichkeit zu unterlassen, aber anhand von Videos kann der Sachverhalt sehr deutlich dargestellt werden.</w:t>
                            </w:r>
                            <w:r>
                              <w:rPr>
                                <w:color w:val="auto"/>
                              </w:rPr>
                              <w:tab/>
                            </w:r>
                            <w:r>
                              <w:rPr>
                                <w:color w:val="auto"/>
                              </w:rPr>
                              <w:tab/>
                            </w:r>
                            <w:r>
                              <w:rPr>
                                <w:color w:val="auto"/>
                              </w:rPr>
                              <w:tab/>
                            </w:r>
                            <w:r>
                              <w:rPr>
                                <w:color w:val="auto"/>
                              </w:rPr>
                              <w:tab/>
                            </w:r>
                            <w:r>
                              <w:rPr>
                                <w:color w:val="auto"/>
                              </w:rPr>
                              <w:tab/>
                            </w:r>
                            <w:r>
                              <w:rPr>
                                <w:color w:val="auto"/>
                              </w:rPr>
                              <w:tab/>
                            </w:r>
                            <w:r>
                              <w:rPr>
                                <w:color w:val="auto"/>
                              </w:rPr>
                              <w:t xml:space="preserve">  Tipp: </w:t>
                            </w:r>
                            <w:r>
                              <w:t>Sofern die Reaktion nicht selbstständig startet, wird ein Tropfen Wasser hinzugegeben.</w:t>
                            </w:r>
                          </w:p>
                        </w:txbxContent>
                      </wps:txbx>
                      <wps:bodyPr rot="0" vert="horz" wrap="square" lIns="91440" tIns="45720" rIns="91440" bIns="45720" anchor="t" anchorCtr="0" upright="1">
                        <a:noAutofit/>
                      </wps:bodyPr>
                    </wps:wsp>
                  </a:graphicData>
                </a:graphic>
              </wp:inline>
            </w:drawing>
          </mc:Choice>
          <mc:Fallback>
            <w:pict>
              <v:shape w14:anchorId="2A6170F2" id="Text Box 131" o:spid="_x0000_s1027" type="#_x0000_t202" style="width:453.6pt;height: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" fillcolor="white [3201]" strokecolor="#ed7d31 [3205]" strokeweight="1pt">
                <v:stroke dashstyle="dash"/>
                <v:shadow color="#868686"/>
                <v:textbox>
                  <w:txbxContent>
                    <w:p w:rsidR="000C0D61" w:rsidRPr="00A71386" w:rsidRDefault="000C0D61" w:rsidP="000C0D61">
                      <w:pPr>
                        <w:rPr>
                          <w:color w:val="auto"/>
                        </w:rPr>
                      </w:pPr>
                      <w:r>
                        <w:rPr>
                          <w:color w:val="auto"/>
                        </w:rPr>
                        <w:t>An diesen Versuch anschließend lässt sich die Reaktivität von Halogenen genauer thematisieren. Chlor ist beispielsweise reaktiver als Brom aufgrund des höheren Elektronegativitätswertes. Versuche mit Chlorgas sind in der Schule aufgrund des hohen Gefährdungspotentials nach Möglichkeit zu unterlassen, aber anhand von Videos kann der Sachverhalt sehr deutlich dargestellt werden.</w:t>
                      </w:r>
                      <w:r>
                        <w:rPr>
                          <w:color w:val="auto"/>
                        </w:rPr>
                        <w:tab/>
                      </w:r>
                      <w:r>
                        <w:rPr>
                          <w:color w:val="auto"/>
                        </w:rPr>
                        <w:tab/>
                      </w:r>
                      <w:r>
                        <w:rPr>
                          <w:color w:val="auto"/>
                        </w:rPr>
                        <w:tab/>
                      </w:r>
                      <w:r>
                        <w:rPr>
                          <w:color w:val="auto"/>
                        </w:rPr>
                        <w:tab/>
                      </w:r>
                      <w:r>
                        <w:rPr>
                          <w:color w:val="auto"/>
                        </w:rPr>
                        <w:tab/>
                      </w:r>
                      <w:r>
                        <w:rPr>
                          <w:color w:val="auto"/>
                        </w:rPr>
                        <w:tab/>
                      </w:r>
                      <w:r>
                        <w:rPr>
                          <w:color w:val="auto"/>
                        </w:rPr>
                        <w:t xml:space="preserve">  Tipp: </w:t>
                      </w:r>
                      <w:r>
                        <w:t>Sofern die Reaktion nicht selbstständig startet, wird ein Tropfen Wasser hinzugegeben.</w:t>
                      </w:r>
                    </w:p>
                  </w:txbxContent>
                </v:textbox>
                <w10:anchorlock/>
              </v:shape>
            </w:pict>
          </mc:Fallback>
        </mc:AlternateContent>
      </w:r>
    </w:p>
    <w:p w:rsidR="0008007A" w:rsidRDefault="0008007A"/>
    <w:sectPr w:rsidR="0008007A" w:rsidSect="00E063E2">
      <w:pgSz w:w="11907" w:h="16840" w:code="9"/>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A2EE9"/>
    <w:multiLevelType w:val="hybridMultilevel"/>
    <w:tmpl w:val="277071CA"/>
    <w:lvl w:ilvl="0" w:tplc="3C98F60E">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D61"/>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C0D61"/>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90E91"/>
  <w15:chartTrackingRefBased/>
  <w15:docId w15:val="{759E85EE-2BEA-4AFB-B72A-CE71E2C78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0C0D6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0C0D6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0C0D6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0C0D6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0C0D6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0C0D6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0C0D6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0C0D6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0C0D6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0C0D6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C0D6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0C0D6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0C0D6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0C0D6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0C0D6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0C0D6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0C0D6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0C0D6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0C0D61"/>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C0D61"/>
    <w:pPr>
      <w:spacing w:line="240" w:lineRule="auto"/>
    </w:pPr>
    <w:rPr>
      <w:bCs/>
      <w:color w:val="auto"/>
      <w:sz w:val="18"/>
      <w:szCs w:val="18"/>
    </w:rPr>
  </w:style>
  <w:style w:type="character" w:styleId="Hyperlink">
    <w:name w:val="Hyperlink"/>
    <w:basedOn w:val="Absatz-Standardschriftart"/>
    <w:uiPriority w:val="99"/>
    <w:unhideWhenUsed/>
    <w:rsid w:val="000C0D6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e.wikipedia.org/wiki/H-_und_P-S%C3%A4tze" TargetMode="Externa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hyperlink" Target="http://de.wikipedia.org/wiki/H-_und_P-S%C3%A4tze" TargetMode="External"/><Relationship Id="rId11" Type="http://schemas.openxmlformats.org/officeDocument/2006/relationships/image" Target="media/image4.jpeg"/><Relationship Id="rId5" Type="http://schemas.openxmlformats.org/officeDocument/2006/relationships/hyperlink" Target="http://de.wikipedia.org/wiki/H-_und_P-S%C3%A4tze" TargetMode="Externa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198</Words>
  <Characters>1250</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1</cp:revision>
  <dcterms:created xsi:type="dcterms:W3CDTF">2016-08-10T13:28:00Z</dcterms:created>
  <dcterms:modified xsi:type="dcterms:W3CDTF">2016-08-10T13:29:00Z</dcterms:modified>
</cp:coreProperties>
</file>