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C5" w:rsidRPr="007C00C5" w:rsidRDefault="007C00C5" w:rsidP="007C00C5">
      <w:pPr>
        <w:pStyle w:val="berschrift2"/>
        <w:numPr>
          <w:ilvl w:val="0"/>
          <w:numId w:val="0"/>
        </w:numPr>
        <w:ind w:left="576" w:hanging="576"/>
        <w:rPr>
          <w:rFonts w:ascii="Cambria" w:hAnsi="Cambria"/>
          <w:color w:val="auto"/>
        </w:rPr>
      </w:pPr>
      <w:bookmarkStart w:id="0" w:name="_Toc457750024"/>
      <w:r w:rsidRPr="007C00C5">
        <w:rPr>
          <w:rFonts w:ascii="Cambria" w:hAnsi="Cambria"/>
          <w:noProof/>
          <w:lang w:eastAsia="de-DE"/>
        </w:rPr>
        <mc:AlternateContent>
          <mc:Choice Requires="wps">
            <w:drawing>
              <wp:anchor distT="0" distB="0" distL="114300" distR="114300" simplePos="0" relativeHeight="251659264" behindDoc="0" locked="0" layoutInCell="1" allowOverlap="1" wp14:anchorId="1694E4A0" wp14:editId="69137E74">
                <wp:simplePos x="0" y="0"/>
                <wp:positionH relativeFrom="column">
                  <wp:posOffset>-4445</wp:posOffset>
                </wp:positionH>
                <wp:positionV relativeFrom="paragraph">
                  <wp:posOffset>502285</wp:posOffset>
                </wp:positionV>
                <wp:extent cx="5873115" cy="1495425"/>
                <wp:effectExtent l="0" t="0" r="13335" b="28575"/>
                <wp:wrapSquare wrapText="bothSides"/>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54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00C5" w:rsidRPr="00F31EBF" w:rsidRDefault="007C00C5" w:rsidP="007C00C5">
                            <w:pPr>
                              <w:rPr>
                                <w:color w:val="auto"/>
                              </w:rPr>
                            </w:pPr>
                            <w:bookmarkStart w:id="1" w:name="_GoBack"/>
                            <w:r>
                              <w:rPr>
                                <w:color w:val="auto"/>
                              </w:rPr>
                              <w:t xml:space="preserve">Der sehr einfach durchzuführende Versuch deckt viele Bereiche der Chemie ab. Für SuS der neunten und zehnten Jahrgangsstufe spielen vor allem die ablaufenden </w:t>
                            </w:r>
                            <w:proofErr w:type="spellStart"/>
                            <w:r>
                              <w:rPr>
                                <w:color w:val="auto"/>
                              </w:rPr>
                              <w:t>Redoxgleichungen</w:t>
                            </w:r>
                            <w:proofErr w:type="spellEnd"/>
                            <w:r>
                              <w:rPr>
                                <w:color w:val="auto"/>
                              </w:rPr>
                              <w:t xml:space="preserve"> eine große Rolle. Durch die Zugabe eines Indikators kann zudem das pH-Milieu thematisiert werden oder aber die Reaktion von Iod und Stärke. Bei den elektrolytischen Vorgängen muss noch weitgehend reduziert werden. Es ist unter diesem Gesichtspunkt jedoch auch ein Einsatz in der Oberstufe möglich.</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4E4A0" id="_x0000_t202" coordsize="21600,21600" o:spt="202" path="m,l,21600r21600,l21600,xe">
                <v:stroke joinstyle="miter"/>
                <v:path gradientshapeok="t" o:connecttype="rect"/>
              </v:shapetype>
              <v:shape id="Text Box 60" o:spid="_x0000_s1026" type="#_x0000_t202" style="position:absolute;left:0;text-align:left;margin-left:-.35pt;margin-top:39.55pt;width:462.4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Uv7gIAACw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" fillcolor="white [3201]" strokecolor="#4472c4 [3208]" strokeweight="1pt">
                <v:stroke dashstyle="dash"/>
                <v:shadow color="#868686"/>
                <v:textbox>
                  <w:txbxContent>
                    <w:p w:rsidR="007C00C5" w:rsidRPr="00F31EBF" w:rsidRDefault="007C00C5" w:rsidP="007C00C5">
                      <w:pPr>
                        <w:rPr>
                          <w:color w:val="auto"/>
                        </w:rPr>
                      </w:pPr>
                      <w:bookmarkStart w:id="2" w:name="_GoBack"/>
                      <w:r>
                        <w:rPr>
                          <w:color w:val="auto"/>
                        </w:rPr>
                        <w:t xml:space="preserve">Der sehr einfach durchzuführende Versuch deckt viele Bereiche der Chemie ab. Für SuS der neunten und zehnten Jahrgangsstufe spielen vor allem die ablaufenden </w:t>
                      </w:r>
                      <w:proofErr w:type="spellStart"/>
                      <w:r>
                        <w:rPr>
                          <w:color w:val="auto"/>
                        </w:rPr>
                        <w:t>Redoxgleichungen</w:t>
                      </w:r>
                      <w:proofErr w:type="spellEnd"/>
                      <w:r>
                        <w:rPr>
                          <w:color w:val="auto"/>
                        </w:rPr>
                        <w:t xml:space="preserve"> eine große Rolle. Durch die Zugabe eines Indikators kann zudem das pH-Milieu thematisiert werden oder aber die Reaktion von Iod und Stärke. Bei den elektrolytischen Vorgängen muss noch weitgehend reduziert werden. Es ist unter diesem Gesichtspunkt jedoch auch ein Einsatz in der Oberstufe möglich.</w:t>
                      </w:r>
                      <w:bookmarkEnd w:id="2"/>
                    </w:p>
                  </w:txbxContent>
                </v:textbox>
                <w10:wrap type="square"/>
              </v:shape>
            </w:pict>
          </mc:Fallback>
        </mc:AlternateContent>
      </w:r>
      <w:r w:rsidRPr="007C00C5">
        <w:rPr>
          <w:rFonts w:ascii="Cambria" w:hAnsi="Cambria"/>
          <w:color w:val="auto"/>
        </w:rPr>
        <w:t>Elektrolyse von Kaliumiodid</w:t>
      </w:r>
      <w:bookmarkEnd w:id="0"/>
    </w:p>
    <w:p w:rsidR="007C00C5" w:rsidRDefault="007C00C5" w:rsidP="007C00C5"/>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C00C5" w:rsidRPr="009C5E28" w:rsidTr="009118F4">
        <w:tc>
          <w:tcPr>
            <w:tcW w:w="9322" w:type="dxa"/>
            <w:gridSpan w:val="9"/>
            <w:shd w:val="clear" w:color="auto" w:fill="4F81BD"/>
            <w:vAlign w:val="center"/>
          </w:tcPr>
          <w:p w:rsidR="007C00C5" w:rsidRPr="00F31EBF" w:rsidRDefault="007C00C5" w:rsidP="009118F4">
            <w:pPr>
              <w:spacing w:after="0"/>
              <w:jc w:val="center"/>
              <w:rPr>
                <w:b/>
                <w:bCs/>
                <w:color w:val="FFFFFF" w:themeColor="background1"/>
              </w:rPr>
            </w:pPr>
            <w:r w:rsidRPr="00F31EBF">
              <w:rPr>
                <w:b/>
                <w:bCs/>
                <w:color w:val="FFFFFF" w:themeColor="background1"/>
              </w:rPr>
              <w:t>Gefahrenstoffe</w:t>
            </w:r>
          </w:p>
        </w:tc>
      </w:tr>
      <w:tr w:rsidR="007C00C5" w:rsidRPr="009C5E28" w:rsidTr="009118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C00C5" w:rsidRPr="009C5E28" w:rsidRDefault="007C00C5" w:rsidP="009118F4">
            <w:pPr>
              <w:spacing w:after="0" w:line="276" w:lineRule="auto"/>
              <w:jc w:val="center"/>
              <w:rPr>
                <w:b/>
                <w:bCs/>
              </w:rPr>
            </w:pPr>
            <w:r>
              <w:rPr>
                <w:sz w:val="20"/>
              </w:rPr>
              <w:t>Kaliumiodid</w:t>
            </w:r>
          </w:p>
        </w:tc>
        <w:tc>
          <w:tcPr>
            <w:tcW w:w="3177" w:type="dxa"/>
            <w:gridSpan w:val="3"/>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C00C5" w:rsidRPr="009C5E28" w:rsidRDefault="007C00C5" w:rsidP="009118F4">
            <w:pPr>
              <w:spacing w:after="0" w:line="240" w:lineRule="auto"/>
              <w:jc w:val="center"/>
            </w:pPr>
            <w:r>
              <w:rPr>
                <w:sz w:val="20"/>
              </w:rPr>
              <w:t>-</w:t>
            </w:r>
          </w:p>
        </w:tc>
      </w:tr>
      <w:tr w:rsidR="007C00C5" w:rsidRPr="009C5E28" w:rsidTr="009118F4">
        <w:trPr>
          <w:trHeight w:val="434"/>
        </w:trPr>
        <w:tc>
          <w:tcPr>
            <w:tcW w:w="3027" w:type="dxa"/>
            <w:gridSpan w:val="3"/>
            <w:tcBorders>
              <w:bottom w:val="single" w:sz="4" w:space="0" w:color="5B9BD5" w:themeColor="accent1"/>
            </w:tcBorders>
            <w:shd w:val="clear" w:color="auto" w:fill="auto"/>
            <w:vAlign w:val="center"/>
          </w:tcPr>
          <w:p w:rsidR="007C00C5" w:rsidRPr="009C5E28" w:rsidRDefault="007C00C5" w:rsidP="009118F4">
            <w:pPr>
              <w:spacing w:after="0" w:line="276" w:lineRule="auto"/>
              <w:jc w:val="center"/>
              <w:rPr>
                <w:bCs/>
                <w:sz w:val="20"/>
              </w:rPr>
            </w:pPr>
            <w:r>
              <w:rPr>
                <w:color w:val="auto"/>
                <w:sz w:val="20"/>
                <w:szCs w:val="20"/>
              </w:rPr>
              <w:t>Phenolphthalein</w:t>
            </w:r>
          </w:p>
        </w:tc>
        <w:tc>
          <w:tcPr>
            <w:tcW w:w="3177" w:type="dxa"/>
            <w:gridSpan w:val="3"/>
            <w:tcBorders>
              <w:bottom w:val="single" w:sz="4" w:space="0" w:color="5B9BD5" w:themeColor="accent1"/>
            </w:tcBorders>
            <w:shd w:val="clear" w:color="auto" w:fill="auto"/>
            <w:vAlign w:val="center"/>
          </w:tcPr>
          <w:p w:rsidR="007C00C5" w:rsidRPr="009C5E28" w:rsidRDefault="007C00C5" w:rsidP="009118F4">
            <w:pPr>
              <w:pStyle w:val="Beschriftung"/>
              <w:spacing w:after="0"/>
              <w:ind w:left="720"/>
              <w:rPr>
                <w:sz w:val="20"/>
              </w:rPr>
            </w:pPr>
            <w:r>
              <w:rPr>
                <w:sz w:val="20"/>
              </w:rPr>
              <w:t>H: 350-341-361f</w:t>
            </w:r>
          </w:p>
        </w:tc>
        <w:tc>
          <w:tcPr>
            <w:tcW w:w="3118" w:type="dxa"/>
            <w:gridSpan w:val="3"/>
            <w:tcBorders>
              <w:bottom w:val="single" w:sz="4" w:space="0" w:color="5B9BD5" w:themeColor="accent1"/>
            </w:tcBorders>
            <w:shd w:val="clear" w:color="auto" w:fill="auto"/>
            <w:vAlign w:val="center"/>
          </w:tcPr>
          <w:p w:rsidR="007C00C5" w:rsidRPr="009C5E28" w:rsidRDefault="007C00C5" w:rsidP="009118F4">
            <w:pPr>
              <w:pStyle w:val="Beschriftung"/>
              <w:spacing w:after="0"/>
              <w:jc w:val="center"/>
              <w:rPr>
                <w:sz w:val="20"/>
              </w:rPr>
            </w:pPr>
            <w:r>
              <w:rPr>
                <w:sz w:val="20"/>
              </w:rPr>
              <w:t>P: 201-280-308+313</w:t>
            </w:r>
          </w:p>
        </w:tc>
      </w:tr>
      <w:tr w:rsidR="007C00C5" w:rsidRPr="009C5E28" w:rsidTr="009118F4">
        <w:trPr>
          <w:trHeight w:val="434"/>
        </w:trPr>
        <w:tc>
          <w:tcPr>
            <w:tcW w:w="3027" w:type="dxa"/>
            <w:gridSpan w:val="3"/>
            <w:tcBorders>
              <w:top w:val="single" w:sz="4" w:space="0" w:color="5B9BD5" w:themeColor="accent1"/>
            </w:tcBorders>
            <w:shd w:val="clear" w:color="auto" w:fill="auto"/>
            <w:vAlign w:val="center"/>
          </w:tcPr>
          <w:p w:rsidR="007C00C5" w:rsidRDefault="007C00C5" w:rsidP="009118F4">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tcBorders>
            <w:shd w:val="clear" w:color="auto" w:fill="auto"/>
            <w:vAlign w:val="center"/>
          </w:tcPr>
          <w:p w:rsidR="007C00C5" w:rsidRPr="009C5E28" w:rsidRDefault="007C00C5" w:rsidP="009118F4">
            <w:pPr>
              <w:pStyle w:val="Beschriftung"/>
              <w:spacing w:after="0"/>
              <w:jc w:val="center"/>
              <w:rPr>
                <w:sz w:val="20"/>
              </w:rPr>
            </w:pPr>
            <w:r>
              <w:rPr>
                <w:sz w:val="20"/>
              </w:rPr>
              <w:t>-</w:t>
            </w:r>
          </w:p>
        </w:tc>
        <w:tc>
          <w:tcPr>
            <w:tcW w:w="3118" w:type="dxa"/>
            <w:gridSpan w:val="3"/>
            <w:tcBorders>
              <w:top w:val="single" w:sz="4" w:space="0" w:color="5B9BD5" w:themeColor="accent1"/>
            </w:tcBorders>
            <w:shd w:val="clear" w:color="auto" w:fill="auto"/>
            <w:vAlign w:val="center"/>
          </w:tcPr>
          <w:p w:rsidR="007C00C5" w:rsidRPr="009C5E28" w:rsidRDefault="007C00C5" w:rsidP="009118F4">
            <w:pPr>
              <w:pStyle w:val="Beschriftung"/>
              <w:spacing w:after="0"/>
              <w:jc w:val="center"/>
              <w:rPr>
                <w:sz w:val="20"/>
              </w:rPr>
            </w:pPr>
            <w:r>
              <w:rPr>
                <w:sz w:val="20"/>
              </w:rPr>
              <w:t>-</w:t>
            </w:r>
          </w:p>
        </w:tc>
      </w:tr>
      <w:tr w:rsidR="007C00C5" w:rsidRPr="009C5E28" w:rsidTr="009118F4">
        <w:trPr>
          <w:trHeight w:val="434"/>
        </w:trPr>
        <w:tc>
          <w:tcPr>
            <w:tcW w:w="3027" w:type="dxa"/>
            <w:gridSpan w:val="3"/>
            <w:tcBorders>
              <w:top w:val="single" w:sz="4" w:space="0" w:color="5B9BD5" w:themeColor="accent1"/>
            </w:tcBorders>
            <w:shd w:val="clear" w:color="auto" w:fill="auto"/>
            <w:vAlign w:val="center"/>
          </w:tcPr>
          <w:p w:rsidR="007C00C5" w:rsidRDefault="007C00C5" w:rsidP="009118F4">
            <w:pPr>
              <w:spacing w:after="0" w:line="276" w:lineRule="auto"/>
              <w:jc w:val="center"/>
              <w:rPr>
                <w:color w:val="auto"/>
                <w:sz w:val="20"/>
                <w:szCs w:val="20"/>
              </w:rPr>
            </w:pPr>
            <w:r>
              <w:rPr>
                <w:color w:val="auto"/>
                <w:sz w:val="20"/>
                <w:szCs w:val="20"/>
              </w:rPr>
              <w:t>Iod</w:t>
            </w:r>
          </w:p>
        </w:tc>
        <w:tc>
          <w:tcPr>
            <w:tcW w:w="3177" w:type="dxa"/>
            <w:gridSpan w:val="3"/>
            <w:tcBorders>
              <w:top w:val="single" w:sz="4" w:space="0" w:color="5B9BD5" w:themeColor="accent1"/>
            </w:tcBorders>
            <w:shd w:val="clear" w:color="auto" w:fill="auto"/>
            <w:vAlign w:val="center"/>
          </w:tcPr>
          <w:p w:rsidR="007C00C5" w:rsidRDefault="007C00C5" w:rsidP="009118F4">
            <w:pPr>
              <w:pStyle w:val="Beschriftung"/>
              <w:spacing w:after="0"/>
              <w:jc w:val="center"/>
              <w:rPr>
                <w:sz w:val="20"/>
              </w:rPr>
            </w:pPr>
            <w:r>
              <w:rPr>
                <w:sz w:val="20"/>
              </w:rPr>
              <w:t>H: 312+332-315-319-335-372-400</w:t>
            </w:r>
          </w:p>
        </w:tc>
        <w:tc>
          <w:tcPr>
            <w:tcW w:w="3118" w:type="dxa"/>
            <w:gridSpan w:val="3"/>
            <w:tcBorders>
              <w:top w:val="single" w:sz="4" w:space="0" w:color="5B9BD5" w:themeColor="accent1"/>
            </w:tcBorders>
            <w:shd w:val="clear" w:color="auto" w:fill="auto"/>
            <w:vAlign w:val="center"/>
          </w:tcPr>
          <w:p w:rsidR="007C00C5" w:rsidRDefault="007C00C5" w:rsidP="009118F4">
            <w:pPr>
              <w:pStyle w:val="Beschriftung"/>
              <w:spacing w:after="0"/>
              <w:jc w:val="center"/>
              <w:rPr>
                <w:sz w:val="20"/>
              </w:rPr>
            </w:pPr>
            <w:r>
              <w:rPr>
                <w:sz w:val="20"/>
              </w:rPr>
              <w:t>P:273-302+352-305+351+338-314</w:t>
            </w:r>
          </w:p>
        </w:tc>
      </w:tr>
      <w:tr w:rsidR="007C00C5" w:rsidRPr="009C5E28" w:rsidTr="009118F4">
        <w:trPr>
          <w:trHeight w:val="434"/>
        </w:trPr>
        <w:tc>
          <w:tcPr>
            <w:tcW w:w="3027" w:type="dxa"/>
            <w:gridSpan w:val="3"/>
            <w:tcBorders>
              <w:top w:val="single" w:sz="4" w:space="0" w:color="5B9BD5" w:themeColor="accent1"/>
            </w:tcBorders>
            <w:shd w:val="clear" w:color="auto" w:fill="auto"/>
            <w:vAlign w:val="center"/>
          </w:tcPr>
          <w:p w:rsidR="007C00C5" w:rsidRDefault="007C00C5" w:rsidP="009118F4">
            <w:pPr>
              <w:spacing w:after="0" w:line="276" w:lineRule="auto"/>
              <w:jc w:val="center"/>
              <w:rPr>
                <w:color w:val="auto"/>
                <w:sz w:val="20"/>
                <w:szCs w:val="20"/>
              </w:rPr>
            </w:pPr>
            <w:r>
              <w:rPr>
                <w:color w:val="auto"/>
                <w:sz w:val="20"/>
                <w:szCs w:val="20"/>
              </w:rPr>
              <w:t>Wasserstoff</w:t>
            </w:r>
          </w:p>
        </w:tc>
        <w:tc>
          <w:tcPr>
            <w:tcW w:w="3177" w:type="dxa"/>
            <w:gridSpan w:val="3"/>
            <w:tcBorders>
              <w:top w:val="single" w:sz="4" w:space="0" w:color="5B9BD5" w:themeColor="accent1"/>
            </w:tcBorders>
            <w:shd w:val="clear" w:color="auto" w:fill="auto"/>
            <w:vAlign w:val="center"/>
          </w:tcPr>
          <w:p w:rsidR="007C00C5" w:rsidRDefault="007C00C5" w:rsidP="009118F4">
            <w:pPr>
              <w:pStyle w:val="Beschriftung"/>
              <w:spacing w:after="0"/>
              <w:jc w:val="center"/>
              <w:rPr>
                <w:sz w:val="20"/>
              </w:rPr>
            </w:pPr>
            <w:r>
              <w:rPr>
                <w:sz w:val="20"/>
              </w:rPr>
              <w:t>H: 220-280</w:t>
            </w:r>
          </w:p>
        </w:tc>
        <w:tc>
          <w:tcPr>
            <w:tcW w:w="3118" w:type="dxa"/>
            <w:gridSpan w:val="3"/>
            <w:tcBorders>
              <w:top w:val="single" w:sz="4" w:space="0" w:color="5B9BD5" w:themeColor="accent1"/>
            </w:tcBorders>
            <w:shd w:val="clear" w:color="auto" w:fill="auto"/>
            <w:vAlign w:val="center"/>
          </w:tcPr>
          <w:p w:rsidR="007C00C5" w:rsidRDefault="007C00C5" w:rsidP="009118F4">
            <w:pPr>
              <w:pStyle w:val="Beschriftung"/>
              <w:spacing w:after="0"/>
              <w:jc w:val="center"/>
              <w:rPr>
                <w:sz w:val="20"/>
              </w:rPr>
            </w:pPr>
            <w:r>
              <w:rPr>
                <w:sz w:val="20"/>
              </w:rPr>
              <w:t>P: 210-377-381-403</w:t>
            </w:r>
          </w:p>
        </w:tc>
      </w:tr>
      <w:tr w:rsidR="007C00C5" w:rsidRPr="009C5E28" w:rsidTr="009118F4">
        <w:tc>
          <w:tcPr>
            <w:tcW w:w="1009" w:type="dxa"/>
            <w:tcBorders>
              <w:top w:val="single" w:sz="8" w:space="0" w:color="4F81BD"/>
              <w:left w:val="single" w:sz="8" w:space="0" w:color="4F81BD"/>
              <w:bottom w:val="single" w:sz="8" w:space="0" w:color="4F81BD"/>
            </w:tcBorders>
            <w:shd w:val="clear" w:color="auto" w:fill="auto"/>
            <w:vAlign w:val="center"/>
          </w:tcPr>
          <w:p w:rsidR="007C00C5" w:rsidRPr="009C5E28" w:rsidRDefault="007C00C5" w:rsidP="009118F4">
            <w:pPr>
              <w:spacing w:after="0"/>
              <w:jc w:val="center"/>
              <w:rPr>
                <w:b/>
                <w:bCs/>
              </w:rPr>
            </w:pPr>
            <w:r>
              <w:rPr>
                <w:b/>
                <w:noProof/>
                <w:lang w:eastAsia="de-DE"/>
              </w:rPr>
              <w:drawing>
                <wp:inline distT="0" distB="0" distL="0" distR="0" wp14:anchorId="19DCA675" wp14:editId="40EA9E10">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Pr>
                <w:noProof/>
                <w:lang w:eastAsia="de-DE"/>
              </w:rPr>
              <w:drawing>
                <wp:inline distT="0" distB="0" distL="0" distR="0" wp14:anchorId="03BE9133" wp14:editId="40D50CA5">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Pr>
                <w:noProof/>
                <w:lang w:eastAsia="de-DE"/>
              </w:rPr>
              <w:drawing>
                <wp:inline distT="0" distB="0" distL="0" distR="0" wp14:anchorId="4852FBD8" wp14:editId="32946882">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Pr>
                <w:noProof/>
                <w:lang w:eastAsia="de-DE"/>
              </w:rPr>
              <w:drawing>
                <wp:inline distT="0" distB="0" distL="0" distR="0" wp14:anchorId="027A114E" wp14:editId="1FF69B27">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sidRPr="00B73930">
              <w:rPr>
                <w:noProof/>
                <w:lang w:eastAsia="de-DE"/>
              </w:rPr>
              <w:drawing>
                <wp:inline distT="0" distB="0" distL="0" distR="0" wp14:anchorId="52AAFB64" wp14:editId="047AFC1B">
                  <wp:extent cx="511200" cy="511200"/>
                  <wp:effectExtent l="0" t="0" r="3175" b="3175"/>
                  <wp:docPr id="61" name="Grafik 61"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Piktogramme\Gasflasche.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sidRPr="001A3967">
              <w:rPr>
                <w:noProof/>
                <w:lang w:eastAsia="de-DE"/>
              </w:rPr>
              <w:drawing>
                <wp:inline distT="0" distB="0" distL="0" distR="0" wp14:anchorId="7D2643F0" wp14:editId="40094DDE">
                  <wp:extent cx="511200" cy="511200"/>
                  <wp:effectExtent l="0" t="0" r="3175" b="3175"/>
                  <wp:docPr id="47" name="Grafik 47" descr="C:\Users\Annika\Deskto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Gesundheitsgefah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bottom"/>
          </w:tcPr>
          <w:p w:rsidR="007C00C5" w:rsidRPr="009C5E28" w:rsidRDefault="007C00C5" w:rsidP="009118F4">
            <w:pPr>
              <w:spacing w:after="0"/>
              <w:jc w:val="center"/>
            </w:pPr>
            <w:r w:rsidRPr="0049146D">
              <w:rPr>
                <w:noProof/>
                <w:lang w:eastAsia="de-DE"/>
              </w:rPr>
              <w:drawing>
                <wp:inline distT="0" distB="0" distL="0" distR="0" wp14:anchorId="3FFD04E8" wp14:editId="68B20827">
                  <wp:extent cx="511200" cy="511200"/>
                  <wp:effectExtent l="0" t="0" r="3175" b="3175"/>
                  <wp:docPr id="43" name="Grafik 43"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iftig.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C00C5" w:rsidRPr="009C5E28" w:rsidRDefault="007C00C5" w:rsidP="009118F4">
            <w:pPr>
              <w:spacing w:after="0"/>
              <w:jc w:val="center"/>
            </w:pPr>
            <w:r>
              <w:rPr>
                <w:noProof/>
                <w:lang w:eastAsia="de-DE"/>
              </w:rPr>
              <w:drawing>
                <wp:inline distT="0" distB="0" distL="0" distR="0" wp14:anchorId="10EFB223" wp14:editId="5691A6C1">
                  <wp:extent cx="511175" cy="51117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C00C5" w:rsidRPr="009C5E28" w:rsidRDefault="007C00C5" w:rsidP="009118F4">
            <w:pPr>
              <w:spacing w:after="0"/>
              <w:jc w:val="center"/>
            </w:pPr>
            <w:r>
              <w:rPr>
                <w:noProof/>
                <w:lang w:eastAsia="de-DE"/>
              </w:rPr>
              <w:drawing>
                <wp:inline distT="0" distB="0" distL="0" distR="0" wp14:anchorId="2CB7233D" wp14:editId="08CFAEEF">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C00C5" w:rsidRDefault="007C00C5" w:rsidP="007C00C5">
      <w:pPr>
        <w:tabs>
          <w:tab w:val="left" w:pos="1701"/>
          <w:tab w:val="left" w:pos="1985"/>
        </w:tabs>
        <w:ind w:left="1980" w:hanging="1980"/>
      </w:pPr>
    </w:p>
    <w:p w:rsidR="007C00C5" w:rsidRDefault="007C00C5" w:rsidP="007C00C5">
      <w:pPr>
        <w:tabs>
          <w:tab w:val="left" w:pos="1701"/>
          <w:tab w:val="left" w:pos="1985"/>
        </w:tabs>
        <w:ind w:left="1980" w:hanging="1980"/>
      </w:pPr>
      <w:r>
        <w:t xml:space="preserve">Materialien: </w:t>
      </w:r>
      <w:r>
        <w:tab/>
      </w:r>
      <w:r>
        <w:tab/>
        <w:t>Petrischale, 9 Volt-Blockbatterie, (4 Krokodilklemmen, 2 Kabel, 2 Graphitelektroden falls ein Akkumulator vorliegt)</w:t>
      </w:r>
    </w:p>
    <w:p w:rsidR="007C00C5" w:rsidRPr="00CC2508" w:rsidRDefault="007C00C5" w:rsidP="007C00C5">
      <w:pPr>
        <w:tabs>
          <w:tab w:val="left" w:pos="1701"/>
          <w:tab w:val="left" w:pos="1985"/>
        </w:tabs>
        <w:ind w:left="1980" w:hanging="1980"/>
        <w:rPr>
          <w:color w:val="auto"/>
        </w:rPr>
      </w:pPr>
      <w:r>
        <w:t>Chemikalien:</w:t>
      </w:r>
      <w:r>
        <w:tab/>
      </w:r>
      <w:r>
        <w:tab/>
        <w:t>Kaliumiodid, Wasser, Stärkelösung,</w:t>
      </w:r>
      <w:r w:rsidRPr="00233591">
        <w:t xml:space="preserve"> </w:t>
      </w:r>
      <w:r>
        <w:t xml:space="preserve">Phenolphthalein bzw. anderer Indikator, der seinen Umschlagsbereich im alkalischen pH-Milieu besitzt </w:t>
      </w:r>
    </w:p>
    <w:p w:rsidR="007C00C5" w:rsidRDefault="007C00C5" w:rsidP="007C00C5">
      <w:pPr>
        <w:tabs>
          <w:tab w:val="left" w:pos="1701"/>
          <w:tab w:val="left" w:pos="1985"/>
        </w:tabs>
        <w:ind w:left="1980" w:hanging="1980"/>
      </w:pPr>
      <w:r>
        <w:t xml:space="preserve">Durchführung: </w:t>
      </w:r>
      <w:r>
        <w:tab/>
      </w:r>
      <w:r>
        <w:tab/>
      </w:r>
      <w:r>
        <w:tab/>
        <w:t xml:space="preserve">65 mg Kaliumiodid werden in 50 </w:t>
      </w:r>
      <w:proofErr w:type="spellStart"/>
      <w:r>
        <w:t>mL</w:t>
      </w:r>
      <w:proofErr w:type="spellEnd"/>
      <w:r>
        <w:t xml:space="preserve"> Wasser gelöst und die Lösung in die Petrischale gefüllt. Anschließend werden wenige Tropfen Phenolphthalein hinzugegeben und beide Kontakte der Batterie in die Lösung gehalten. Nach ca. 30 Sekunden wird an beiden Polen wenig Stärkelösung hinzugetropft. </w:t>
      </w:r>
    </w:p>
    <w:p w:rsidR="007C00C5" w:rsidRDefault="007C00C5" w:rsidP="007C00C5">
      <w:pPr>
        <w:tabs>
          <w:tab w:val="left" w:pos="1701"/>
          <w:tab w:val="left" w:pos="1985"/>
        </w:tabs>
        <w:ind w:left="1980" w:hanging="1980"/>
      </w:pPr>
      <w:r>
        <w:t>Beobachtung:</w:t>
      </w:r>
      <w:r>
        <w:tab/>
      </w:r>
      <w:r>
        <w:tab/>
      </w:r>
      <w:r>
        <w:tab/>
        <w:t xml:space="preserve">Am Minuspol wird sehr rasch eine pinke Färbung und Blasenbildung sichtbar. Nach </w:t>
      </w:r>
      <w:proofErr w:type="spellStart"/>
      <w:r>
        <w:t>Zutropfen</w:t>
      </w:r>
      <w:proofErr w:type="spellEnd"/>
      <w:r>
        <w:t xml:space="preserve"> der Stärkelösung entsteht am Pluspol eine blauschwarze (z.T. gelbliche) Färbung.</w:t>
      </w:r>
    </w:p>
    <w:p w:rsidR="007C00C5" w:rsidRPr="000E5F0E" w:rsidRDefault="007C00C5" w:rsidP="007C00C5">
      <w:pPr>
        <w:tabs>
          <w:tab w:val="left" w:pos="1701"/>
          <w:tab w:val="left" w:pos="1985"/>
        </w:tabs>
        <w:ind w:left="1980" w:hanging="1980"/>
        <w:jc w:val="center"/>
      </w:pPr>
      <w:r w:rsidRPr="007134A9">
        <w:rPr>
          <w:noProof/>
          <w:lang w:eastAsia="de-DE"/>
        </w:rPr>
        <w:lastRenderedPageBreak/>
        <w:drawing>
          <wp:anchor distT="0" distB="0" distL="114300" distR="114300" simplePos="0" relativeHeight="251660288" behindDoc="1" locked="0" layoutInCell="1" allowOverlap="1" wp14:anchorId="61EED8F4" wp14:editId="2305E0D6">
            <wp:simplePos x="0" y="0"/>
            <wp:positionH relativeFrom="column">
              <wp:posOffset>1241425</wp:posOffset>
            </wp:positionH>
            <wp:positionV relativeFrom="page">
              <wp:posOffset>1063625</wp:posOffset>
            </wp:positionV>
            <wp:extent cx="3823970" cy="3674745"/>
            <wp:effectExtent l="131762" t="134938" r="155893" b="155892"/>
            <wp:wrapTight wrapText="bothSides">
              <wp:wrapPolygon edited="0">
                <wp:start x="-762" y="10953"/>
                <wp:lineTo x="-547" y="22374"/>
                <wp:lineTo x="21835" y="22374"/>
                <wp:lineTo x="22158" y="11177"/>
                <wp:lineTo x="22373" y="11065"/>
                <wp:lineTo x="22373" y="10617"/>
                <wp:lineTo x="22158" y="10505"/>
                <wp:lineTo x="21835" y="-692"/>
                <wp:lineTo x="-439" y="-804"/>
                <wp:lineTo x="-547" y="-133"/>
                <wp:lineTo x="-762" y="10505"/>
                <wp:lineTo x="-762" y="10953"/>
              </wp:wrapPolygon>
            </wp:wrapTight>
            <wp:docPr id="48" name="Grafik 48" descr="C:\Users\Annika\Documents\Studium\Fachdidaktik\Chemiedidaktik\SVP\Fotos 9+10\IMG_1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9+10\IMG_1797.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rot="5400000">
                      <a:off x="0" y="0"/>
                      <a:ext cx="3823970" cy="3674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pPr>
    </w:p>
    <w:p w:rsidR="007C00C5" w:rsidRDefault="007C00C5" w:rsidP="007C00C5">
      <w:pPr>
        <w:pStyle w:val="Beschriftung"/>
        <w:jc w:val="center"/>
        <w:rPr>
          <w:noProof/>
        </w:rPr>
      </w:pPr>
      <w:r w:rsidRPr="006471A6">
        <w:t xml:space="preserve">Abb. </w:t>
      </w:r>
      <w:r>
        <w:t>3 –</w:t>
      </w:r>
      <w:r>
        <w:rPr>
          <w:noProof/>
        </w:rPr>
        <w:t xml:space="preserve"> Elektrolyse von Iodid (links: Minuspol, rechts: Pluspol).</w:t>
      </w:r>
    </w:p>
    <w:p w:rsidR="007C00C5" w:rsidRPr="006471A6" w:rsidRDefault="007C00C5" w:rsidP="007C00C5"/>
    <w:p w:rsidR="007C00C5" w:rsidRDefault="007C00C5" w:rsidP="007C00C5">
      <w:pPr>
        <w:tabs>
          <w:tab w:val="left" w:pos="1701"/>
          <w:tab w:val="left" w:pos="1985"/>
        </w:tabs>
        <w:ind w:left="2124" w:hanging="2124"/>
      </w:pPr>
      <w:r>
        <w:t>Deutung:</w:t>
      </w:r>
      <w:r>
        <w:tab/>
      </w:r>
      <w:r>
        <w:tab/>
      </w:r>
      <w:r>
        <w:tab/>
        <w:t xml:space="preserve">Bei der Elektrolyse von Kaliumiodid wird Iod an der Anode (Pluspol) abgeschieden. Unter Zugabe der Stärkelösung bildet sich daher ein </w:t>
      </w:r>
      <w:proofErr w:type="spellStart"/>
      <w:r>
        <w:t>Iodstärke</w:t>
      </w:r>
      <w:proofErr w:type="spellEnd"/>
      <w:r>
        <w:t xml:space="preserve">-komplex, was die blauschwarze bis gelbe Färbung erklärt. Diese variiert aufgrund der Kettenlänge der </w:t>
      </w:r>
      <w:proofErr w:type="spellStart"/>
      <w:r>
        <w:t>Amylose</w:t>
      </w:r>
      <w:proofErr w:type="spellEnd"/>
      <w:r>
        <w:t xml:space="preserve">, in welche sich die </w:t>
      </w:r>
      <w:proofErr w:type="spellStart"/>
      <w:r>
        <w:t>Iodidionen</w:t>
      </w:r>
      <w:proofErr w:type="spellEnd"/>
      <w:r>
        <w:t xml:space="preserve"> einlagern. </w:t>
      </w:r>
    </w:p>
    <w:tbl>
      <w:tblPr>
        <w:tblStyle w:val="Tabellenraster"/>
        <w:tblW w:w="0" w:type="auto"/>
        <w:tblInd w:w="2124" w:type="dxa"/>
        <w:tblLook w:val="04A0" w:firstRow="1" w:lastRow="0" w:firstColumn="1" w:lastColumn="0" w:noHBand="0" w:noVBand="1"/>
      </w:tblPr>
      <w:tblGrid>
        <w:gridCol w:w="3572"/>
        <w:gridCol w:w="3375"/>
      </w:tblGrid>
      <w:tr w:rsidR="007C00C5" w:rsidRPr="00041FFA" w:rsidTr="009118F4">
        <w:tc>
          <w:tcPr>
            <w:tcW w:w="4531" w:type="dxa"/>
            <w:tcBorders>
              <w:top w:val="nil"/>
              <w:left w:val="nil"/>
              <w:bottom w:val="nil"/>
              <w:right w:val="nil"/>
            </w:tcBorders>
          </w:tcPr>
          <w:p w:rsidR="007C00C5" w:rsidRPr="00041FFA" w:rsidRDefault="007C00C5" w:rsidP="009118F4">
            <w:pPr>
              <w:tabs>
                <w:tab w:val="left" w:pos="1701"/>
                <w:tab w:val="left" w:pos="1985"/>
              </w:tabs>
              <w:rPr>
                <w:lang w:val="en-US"/>
              </w:rPr>
            </w:pPr>
            <w:r w:rsidRPr="00041FFA">
              <w:rPr>
                <w:lang w:val="en-US"/>
              </w:rPr>
              <w:t xml:space="preserve">Oxidation: </w:t>
            </w:r>
            <m:oMath>
              <m:sSubSup>
                <m:sSubSupPr>
                  <m:ctrlPr>
                    <w:rPr>
                      <w:rFonts w:ascii="Cambria Math" w:hAnsi="Cambria Math"/>
                    </w:rPr>
                  </m:ctrlPr>
                </m:sSubSupPr>
                <m:e>
                  <m:r>
                    <m:rPr>
                      <m:sty m:val="p"/>
                    </m:rPr>
                    <w:rPr>
                      <w:rFonts w:ascii="Cambria Math" w:hAnsi="Cambria Math"/>
                      <w:lang w:val="en-US"/>
                    </w:rPr>
                    <m:t>2 I</m:t>
                  </m:r>
                </m:e>
                <m:sub>
                  <m:r>
                    <m:rPr>
                      <m:sty m:val="p"/>
                    </m:rPr>
                    <w:rPr>
                      <w:rFonts w:ascii="Cambria Math" w:hAnsi="Cambria Math"/>
                      <w:lang w:val="en-US"/>
                    </w:rPr>
                    <m:t>(aq)</m:t>
                  </m:r>
                </m:sub>
                <m:sup>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2 (aq)</m:t>
                  </m:r>
                </m:sub>
              </m:sSub>
              <m:r>
                <m:rPr>
                  <m:sty m:val="p"/>
                </m:rPr>
                <w:rPr>
                  <w:rFonts w:ascii="Cambria Math" w:hAnsi="Cambria Math"/>
                  <w:lang w:val="en-US"/>
                </w:rPr>
                <m:t>+</m:t>
              </m:r>
              <m:sSup>
                <m:sSupPr>
                  <m:ctrlPr>
                    <w:rPr>
                      <w:rFonts w:ascii="Cambria Math" w:hAnsi="Cambria Math"/>
                    </w:rPr>
                  </m:ctrlPr>
                </m:sSupPr>
                <m:e>
                  <m:r>
                    <m:rPr>
                      <m:sty m:val="p"/>
                    </m:rPr>
                    <w:rPr>
                      <w:rFonts w:ascii="Cambria Math" w:hAnsi="Cambria Math"/>
                      <w:lang w:val="en-US"/>
                    </w:rPr>
                    <m:t>2e</m:t>
                  </m:r>
                </m:e>
                <m:sup>
                  <m:r>
                    <m:rPr>
                      <m:sty m:val="p"/>
                    </m:rPr>
                    <w:rPr>
                      <w:rFonts w:ascii="Cambria Math" w:hAnsi="Cambria Math"/>
                      <w:lang w:val="en-US"/>
                    </w:rPr>
                    <m:t>-</m:t>
                  </m:r>
                </m:sup>
              </m:sSup>
            </m:oMath>
          </w:p>
        </w:tc>
        <w:tc>
          <w:tcPr>
            <w:tcW w:w="4531" w:type="dxa"/>
            <w:tcBorders>
              <w:top w:val="nil"/>
              <w:left w:val="nil"/>
              <w:bottom w:val="nil"/>
              <w:right w:val="nil"/>
            </w:tcBorders>
          </w:tcPr>
          <w:p w:rsidR="007C00C5" w:rsidRPr="00041FFA" w:rsidRDefault="007C00C5" w:rsidP="009118F4">
            <w:pPr>
              <w:tabs>
                <w:tab w:val="left" w:pos="1701"/>
                <w:tab w:val="left" w:pos="1985"/>
              </w:tabs>
              <w:jc w:val="right"/>
              <w:rPr>
                <w:lang w:val="en-US"/>
              </w:rPr>
            </w:pPr>
            <w:r>
              <w:rPr>
                <w:lang w:val="en-US"/>
              </w:rPr>
              <w:t>E</w:t>
            </w:r>
            <w:r>
              <w:rPr>
                <w:vertAlign w:val="superscript"/>
                <w:lang w:val="en-US"/>
              </w:rPr>
              <w:t xml:space="preserve">0 </w:t>
            </w:r>
            <w:r>
              <w:rPr>
                <w:lang w:val="en-US"/>
              </w:rPr>
              <w:t>= 0,5 V</w:t>
            </w:r>
          </w:p>
        </w:tc>
      </w:tr>
    </w:tbl>
    <w:p w:rsidR="007C00C5" w:rsidRDefault="007C00C5" w:rsidP="007C00C5">
      <w:pPr>
        <w:tabs>
          <w:tab w:val="left" w:pos="1701"/>
          <w:tab w:val="left" w:pos="1985"/>
        </w:tabs>
        <w:ind w:left="2124"/>
      </w:pPr>
      <w:r>
        <w:t>An der Kathode (Minuspol) bildet sich Wasserstoff, was die Blasenbildung erklärt. Dieser stammt aus der Autoprotolyse des Wassers.</w:t>
      </w:r>
    </w:p>
    <w:tbl>
      <w:tblPr>
        <w:tblStyle w:val="Tabellenraster"/>
        <w:tblW w:w="0" w:type="auto"/>
        <w:tblInd w:w="2124" w:type="dxa"/>
        <w:tblLook w:val="04A0" w:firstRow="1" w:lastRow="0" w:firstColumn="1" w:lastColumn="0" w:noHBand="0" w:noVBand="1"/>
      </w:tblPr>
      <w:tblGrid>
        <w:gridCol w:w="4007"/>
        <w:gridCol w:w="2940"/>
      </w:tblGrid>
      <w:tr w:rsidR="007C00C5" w:rsidRPr="00041FFA" w:rsidTr="009118F4">
        <w:tc>
          <w:tcPr>
            <w:tcW w:w="4531" w:type="dxa"/>
            <w:tcBorders>
              <w:top w:val="nil"/>
              <w:left w:val="nil"/>
              <w:bottom w:val="nil"/>
              <w:right w:val="nil"/>
            </w:tcBorders>
          </w:tcPr>
          <w:p w:rsidR="007C00C5" w:rsidRPr="00041FFA" w:rsidRDefault="007C00C5" w:rsidP="009118F4">
            <w:pPr>
              <w:tabs>
                <w:tab w:val="left" w:pos="1701"/>
                <w:tab w:val="left" w:pos="1985"/>
              </w:tabs>
              <w:ind w:left="2124" w:hanging="2124"/>
              <w:rPr>
                <w:rFonts w:eastAsiaTheme="minorEastAsia"/>
              </w:rPr>
            </w:pPr>
            <w:r>
              <w:rPr>
                <w:rFonts w:eastAsiaTheme="minorEastAsia"/>
              </w:rPr>
              <w:t xml:space="preserve">Reduktion: </w:t>
            </w:r>
            <m:oMath>
              <m:sSubSup>
                <m:sSubSupPr>
                  <m:ctrlPr>
                    <w:rPr>
                      <w:rFonts w:ascii="Cambria Math" w:hAnsi="Cambria Math"/>
                    </w:rPr>
                  </m:ctrlPr>
                </m:sSubSupPr>
                <m:e>
                  <m:r>
                    <m:rPr>
                      <m:sty m:val="p"/>
                    </m:rPr>
                    <w:rPr>
                      <w:rFonts w:ascii="Cambria Math" w:hAnsi="Cambria Math"/>
                    </w:rPr>
                    <m:t>2 H</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 (g)</m:t>
                  </m:r>
                </m:sub>
              </m:sSub>
            </m:oMath>
          </w:p>
        </w:tc>
        <w:tc>
          <w:tcPr>
            <w:tcW w:w="4531" w:type="dxa"/>
            <w:tcBorders>
              <w:top w:val="nil"/>
              <w:left w:val="nil"/>
              <w:bottom w:val="nil"/>
              <w:right w:val="nil"/>
            </w:tcBorders>
          </w:tcPr>
          <w:p w:rsidR="007C00C5" w:rsidRPr="00041FFA" w:rsidRDefault="007C00C5" w:rsidP="009118F4">
            <w:pPr>
              <w:tabs>
                <w:tab w:val="left" w:pos="1701"/>
                <w:tab w:val="left" w:pos="1985"/>
              </w:tabs>
              <w:jc w:val="right"/>
              <w:rPr>
                <w:lang w:val="en-US"/>
              </w:rPr>
            </w:pPr>
            <w:r>
              <w:rPr>
                <w:lang w:val="en-US"/>
              </w:rPr>
              <w:t>E</w:t>
            </w:r>
            <w:r>
              <w:rPr>
                <w:vertAlign w:val="superscript"/>
                <w:lang w:val="en-US"/>
              </w:rPr>
              <w:t xml:space="preserve">0 </w:t>
            </w:r>
            <w:r>
              <w:rPr>
                <w:lang w:val="en-US"/>
              </w:rPr>
              <w:t>= -0,4 V</w:t>
            </w:r>
          </w:p>
        </w:tc>
      </w:tr>
    </w:tbl>
    <w:p w:rsidR="007C00C5" w:rsidRDefault="007C00C5" w:rsidP="007C00C5">
      <w:pPr>
        <w:tabs>
          <w:tab w:val="left" w:pos="1701"/>
          <w:tab w:val="left" w:pos="1985"/>
        </w:tabs>
        <w:ind w:left="2124" w:hanging="2124"/>
        <w:rPr>
          <w:rFonts w:eastAsiaTheme="minorEastAsia"/>
        </w:rPr>
      </w:pPr>
      <w:r>
        <w:tab/>
      </w:r>
      <w:r>
        <w:tab/>
      </w:r>
      <w:r>
        <w:tab/>
      </w:r>
      <w:r>
        <w:rPr>
          <w:rFonts w:eastAsiaTheme="minorEastAsia"/>
        </w:rPr>
        <w:t>Weiterhin laufen aufgrund der Standardpotenziale folgende Reaktionen erst im Anschluss ab:</w:t>
      </w:r>
    </w:p>
    <w:tbl>
      <w:tblPr>
        <w:tblStyle w:val="Tabellenraster"/>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258"/>
      </w:tblGrid>
      <w:tr w:rsidR="007C00C5" w:rsidTr="009118F4">
        <w:tc>
          <w:tcPr>
            <w:tcW w:w="4680" w:type="dxa"/>
          </w:tcPr>
          <w:p w:rsidR="007C00C5" w:rsidRPr="000623C4" w:rsidRDefault="007C00C5" w:rsidP="009118F4">
            <w:pPr>
              <w:tabs>
                <w:tab w:val="left" w:pos="1701"/>
                <w:tab w:val="left" w:pos="1985"/>
              </w:tabs>
              <w:rPr>
                <w:rFonts w:eastAsiaTheme="minorEastAsia"/>
                <w:lang w:val="en-US"/>
              </w:rPr>
            </w:pPr>
            <w:r w:rsidRPr="000623C4">
              <w:rPr>
                <w:rFonts w:eastAsiaTheme="minorEastAsia"/>
                <w:lang w:val="en-US"/>
              </w:rPr>
              <w:t>Oxidation:</w:t>
            </w:r>
            <m:oMath>
              <m:r>
                <w:rPr>
                  <w:rFonts w:ascii="Cambria Math" w:eastAsiaTheme="minorEastAsia" w:hAnsi="Cambria Math"/>
                  <w:lang w:val="en-US"/>
                </w:rPr>
                <m:t xml:space="preserve"> </m:t>
              </m:r>
              <m:sSubSup>
                <m:sSubSupPr>
                  <m:ctrlPr>
                    <w:rPr>
                      <w:rFonts w:ascii="Cambria Math" w:hAnsi="Cambria Math"/>
                    </w:rPr>
                  </m:ctrlPr>
                </m:sSubSupPr>
                <m:e>
                  <m:r>
                    <m:rPr>
                      <m:sty m:val="p"/>
                    </m:rPr>
                    <w:rPr>
                      <w:rFonts w:ascii="Cambria Math" w:hAnsi="Cambria Math"/>
                      <w:lang w:val="en-US"/>
                    </w:rPr>
                    <m:t>4 OH</m:t>
                  </m:r>
                </m:e>
                <m:sub>
                  <m:r>
                    <m:rPr>
                      <m:sty m:val="p"/>
                    </m:rPr>
                    <w:rPr>
                      <w:rFonts w:ascii="Cambria Math" w:hAnsi="Cambria Math"/>
                      <w:lang w:val="en-US"/>
                    </w:rPr>
                    <m:t>(aq)</m:t>
                  </m:r>
                </m:sub>
                <m:sup>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O</m:t>
                  </m:r>
                </m:e>
                <m:sub>
                  <m:r>
                    <m:rPr>
                      <m:sty m:val="p"/>
                    </m:rPr>
                    <w:rPr>
                      <w:rFonts w:ascii="Cambria Math" w:hAnsi="Cambria Math"/>
                      <w:lang w:val="en-US"/>
                    </w:rPr>
                    <m:t>2 (g)</m:t>
                  </m:r>
                </m:sub>
              </m:sSub>
              <m:r>
                <m:rPr>
                  <m:sty m:val="p"/>
                </m:rPr>
                <w:rPr>
                  <w:rFonts w:ascii="Cambria Math" w:hAnsi="Cambria Math"/>
                  <w:lang w:val="en-US"/>
                </w:rPr>
                <m:t>+</m:t>
              </m:r>
              <m:sSup>
                <m:sSupPr>
                  <m:ctrlPr>
                    <w:rPr>
                      <w:rFonts w:ascii="Cambria Math" w:hAnsi="Cambria Math"/>
                    </w:rPr>
                  </m:ctrlPr>
                </m:sSupPr>
                <m:e>
                  <m:r>
                    <m:rPr>
                      <m:sty m:val="p"/>
                    </m:rPr>
                    <w:rPr>
                      <w:rFonts w:ascii="Cambria Math" w:hAnsi="Cambria Math"/>
                      <w:lang w:val="en-US"/>
                    </w:rPr>
                    <m:t>4e</m:t>
                  </m:r>
                </m:e>
                <m:sup>
                  <m:r>
                    <m:rPr>
                      <m:sty m:val="p"/>
                    </m:rPr>
                    <w:rPr>
                      <w:rFonts w:ascii="Cambria Math" w:hAnsi="Cambria Math"/>
                      <w:lang w:val="en-US"/>
                    </w:rPr>
                    <m:t>-</m:t>
                  </m:r>
                </m:sup>
              </m:sSup>
              <m:r>
                <w:rPr>
                  <w:rFonts w:ascii="Cambria Math" w:hAnsi="Cambria Math"/>
                  <w:lang w:val="en-US"/>
                </w:rPr>
                <m:t xml:space="preserve">+2 </m:t>
              </m:r>
              <m:sSub>
                <m:sSubPr>
                  <m:ctrlPr>
                    <w:rPr>
                      <w:rFonts w:ascii="Cambria Math" w:eastAsiaTheme="minorEastAsia" w:hAnsi="Cambria Math"/>
                    </w:rPr>
                  </m:ctrlPr>
                </m:sSubPr>
                <m:e>
                  <m:r>
                    <m:rPr>
                      <m:sty m:val="p"/>
                    </m:rPr>
                    <w:rPr>
                      <w:rFonts w:ascii="Cambria Math" w:eastAsiaTheme="minorEastAsia" w:hAnsi="Cambria Math"/>
                      <w:lang w:val="en-US"/>
                    </w:rPr>
                    <m:t>H</m:t>
                  </m:r>
                </m:e>
                <m:sub>
                  <m:r>
                    <m:rPr>
                      <m:sty m:val="p"/>
                    </m:rPr>
                    <w:rPr>
                      <w:rFonts w:ascii="Cambria Math" w:eastAsiaTheme="minorEastAsia" w:hAnsi="Cambria Math"/>
                      <w:lang w:val="en-US"/>
                    </w:rPr>
                    <m:t>2</m:t>
                  </m:r>
                </m:sub>
              </m:sSub>
              <m:sSub>
                <m:sSubPr>
                  <m:ctrlPr>
                    <w:rPr>
                      <w:rFonts w:ascii="Cambria Math" w:eastAsiaTheme="minorEastAsia" w:hAnsi="Cambria Math"/>
                    </w:rPr>
                  </m:ctrlPr>
                </m:sSubPr>
                <m:e>
                  <m:r>
                    <m:rPr>
                      <m:sty m:val="p"/>
                    </m:rPr>
                    <w:rPr>
                      <w:rFonts w:ascii="Cambria Math" w:eastAsiaTheme="minorEastAsia" w:hAnsi="Cambria Math"/>
                      <w:lang w:val="en-US"/>
                    </w:rPr>
                    <m:t>O</m:t>
                  </m:r>
                </m:e>
                <m:sub>
                  <m:r>
                    <m:rPr>
                      <m:sty m:val="p"/>
                    </m:rPr>
                    <w:rPr>
                      <w:rFonts w:ascii="Cambria Math" w:eastAsiaTheme="minorEastAsia" w:hAnsi="Cambria Math"/>
                      <w:lang w:val="en-US"/>
                    </w:rPr>
                    <m:t>(l)</m:t>
                  </m:r>
                </m:sub>
              </m:sSub>
            </m:oMath>
          </w:p>
        </w:tc>
        <w:tc>
          <w:tcPr>
            <w:tcW w:w="2258" w:type="dxa"/>
          </w:tcPr>
          <w:p w:rsidR="007C00C5" w:rsidRDefault="007C00C5" w:rsidP="009118F4">
            <w:pPr>
              <w:tabs>
                <w:tab w:val="left" w:pos="1701"/>
                <w:tab w:val="left" w:pos="1985"/>
              </w:tabs>
              <w:jc w:val="right"/>
              <w:rPr>
                <w:rFonts w:eastAsiaTheme="minorEastAsia"/>
              </w:rPr>
            </w:pPr>
            <w:r w:rsidRPr="00686322">
              <w:rPr>
                <w:lang w:val="en-US"/>
              </w:rPr>
              <w:t>E</w:t>
            </w:r>
            <w:r w:rsidRPr="00686322">
              <w:rPr>
                <w:vertAlign w:val="superscript"/>
                <w:lang w:val="en-US"/>
              </w:rPr>
              <w:t xml:space="preserve">0 </w:t>
            </w:r>
            <w:r w:rsidRPr="00686322">
              <w:rPr>
                <w:lang w:val="en-US"/>
              </w:rPr>
              <w:t>= 0,</w:t>
            </w:r>
            <w:r>
              <w:rPr>
                <w:lang w:val="en-US"/>
              </w:rPr>
              <w:t>8</w:t>
            </w:r>
            <w:r w:rsidRPr="00686322">
              <w:rPr>
                <w:lang w:val="en-US"/>
              </w:rPr>
              <w:t xml:space="preserve"> V</w:t>
            </w:r>
          </w:p>
        </w:tc>
      </w:tr>
      <w:tr w:rsidR="007C00C5" w:rsidTr="009118F4">
        <w:tc>
          <w:tcPr>
            <w:tcW w:w="4680" w:type="dxa"/>
          </w:tcPr>
          <w:p w:rsidR="007C00C5" w:rsidRDefault="007C00C5" w:rsidP="009118F4">
            <w:pPr>
              <w:tabs>
                <w:tab w:val="left" w:pos="1701"/>
                <w:tab w:val="left" w:pos="1985"/>
              </w:tabs>
              <w:rPr>
                <w:rFonts w:eastAsiaTheme="minorEastAsia"/>
              </w:rPr>
            </w:pPr>
            <w:r>
              <w:rPr>
                <w:rFonts w:eastAsiaTheme="minorEastAsia"/>
              </w:rPr>
              <w:lastRenderedPageBreak/>
              <w:t xml:space="preserve">Reduktion: </w:t>
            </w:r>
            <m:oMath>
              <m:sSubSup>
                <m:sSubSupPr>
                  <m:ctrlPr>
                    <w:rPr>
                      <w:rFonts w:ascii="Cambria Math" w:hAnsi="Cambria Math"/>
                    </w:rPr>
                  </m:ctrlPr>
                </m:sSubSupPr>
                <m:e>
                  <m:r>
                    <m:rPr>
                      <m:sty m:val="p"/>
                    </m:rPr>
                    <w:rPr>
                      <w:rFonts w:ascii="Cambria Math" w:hAnsi="Cambria Math"/>
                    </w:rPr>
                    <m:t>K</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(aq)</m:t>
                  </m:r>
                </m:sub>
              </m:sSub>
            </m:oMath>
          </w:p>
        </w:tc>
        <w:tc>
          <w:tcPr>
            <w:tcW w:w="2258" w:type="dxa"/>
          </w:tcPr>
          <w:p w:rsidR="007C00C5" w:rsidRDefault="007C00C5" w:rsidP="009118F4">
            <w:pPr>
              <w:tabs>
                <w:tab w:val="left" w:pos="1701"/>
                <w:tab w:val="left" w:pos="1985"/>
              </w:tabs>
              <w:jc w:val="right"/>
              <w:rPr>
                <w:rFonts w:eastAsiaTheme="minorEastAsia"/>
              </w:rPr>
            </w:pPr>
            <w:r w:rsidRPr="00686322">
              <w:rPr>
                <w:lang w:val="en-US"/>
              </w:rPr>
              <w:t>E</w:t>
            </w:r>
            <w:r w:rsidRPr="00686322">
              <w:rPr>
                <w:vertAlign w:val="superscript"/>
                <w:lang w:val="en-US"/>
              </w:rPr>
              <w:t xml:space="preserve">0 </w:t>
            </w:r>
            <w:r w:rsidRPr="00686322">
              <w:rPr>
                <w:lang w:val="en-US"/>
              </w:rPr>
              <w:t>= -</w:t>
            </w:r>
            <w:r>
              <w:rPr>
                <w:lang w:val="en-US"/>
              </w:rPr>
              <w:t>2</w:t>
            </w:r>
            <w:r w:rsidRPr="00686322">
              <w:rPr>
                <w:lang w:val="en-US"/>
              </w:rPr>
              <w:t>,</w:t>
            </w:r>
            <w:r>
              <w:rPr>
                <w:lang w:val="en-US"/>
              </w:rPr>
              <w:t>9</w:t>
            </w:r>
            <w:r w:rsidRPr="00686322">
              <w:rPr>
                <w:lang w:val="en-US"/>
              </w:rPr>
              <w:t xml:space="preserve"> V</w:t>
            </w:r>
          </w:p>
        </w:tc>
      </w:tr>
    </w:tbl>
    <w:p w:rsidR="007C00C5" w:rsidRPr="00233591" w:rsidRDefault="007C00C5" w:rsidP="007C00C5">
      <w:pPr>
        <w:tabs>
          <w:tab w:val="left" w:pos="1701"/>
          <w:tab w:val="left" w:pos="1985"/>
        </w:tabs>
        <w:ind w:left="2124" w:hanging="2124"/>
        <w:rPr>
          <w:rFonts w:eastAsiaTheme="minorEastAsia"/>
          <w:sz w:val="2"/>
          <w:szCs w:val="2"/>
        </w:rPr>
      </w:pPr>
      <w:r>
        <w:rPr>
          <w:rFonts w:eastAsiaTheme="minorEastAsia"/>
        </w:rPr>
        <w:tab/>
      </w:r>
      <w:r>
        <w:rPr>
          <w:rFonts w:eastAsiaTheme="minorEastAsia"/>
        </w:rPr>
        <w:tab/>
      </w:r>
      <w:r>
        <w:rPr>
          <w:rFonts w:eastAsiaTheme="minorEastAsia"/>
        </w:rPr>
        <w:tab/>
        <w:t xml:space="preserve"> </w:t>
      </w:r>
    </w:p>
    <w:p w:rsidR="007C00C5" w:rsidRDefault="007C00C5" w:rsidP="007C00C5">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Bei der Betrachtung auf SuS-Niveau sollte die Argumentation über die Standardpotenziale nicht verwendet werden, da dieser Begriff noch nicht bekannt ist. Außerdem sollte anstelle der zweiten Oxidation und Reduktion lediglich gesagt werden, dass Hydroxid- und </w:t>
      </w:r>
      <w:proofErr w:type="spellStart"/>
      <w:r>
        <w:rPr>
          <w:rFonts w:eastAsiaTheme="minorEastAsia"/>
        </w:rPr>
        <w:t>Kaliumionen</w:t>
      </w:r>
      <w:proofErr w:type="spellEnd"/>
      <w:r>
        <w:rPr>
          <w:rFonts w:eastAsiaTheme="minorEastAsia"/>
        </w:rPr>
        <w:t xml:space="preserve"> in der Lösung vorliegen, welche ursächlich für die pinke Verfärbung des Phenolphthaleins sind. </w:t>
      </w:r>
    </w:p>
    <w:p w:rsidR="007C00C5" w:rsidRDefault="007C00C5" w:rsidP="007C00C5">
      <w:pPr>
        <w:tabs>
          <w:tab w:val="left" w:pos="1701"/>
          <w:tab w:val="left" w:pos="1985"/>
        </w:tabs>
        <w:ind w:left="2124" w:hanging="2124"/>
      </w:pPr>
      <w:r>
        <w:t>Entsorgung:</w:t>
      </w:r>
      <w:r>
        <w:tab/>
        <w:t xml:space="preserve">         Die </w:t>
      </w:r>
      <w:proofErr w:type="spellStart"/>
      <w:r>
        <w:t>Phenolphtaleinlösung</w:t>
      </w:r>
      <w:proofErr w:type="spellEnd"/>
      <w:r>
        <w:t xml:space="preserve"> wird im organischen Lösungsmittelabfall entsorgt.</w:t>
      </w:r>
    </w:p>
    <w:p w:rsidR="007C00C5" w:rsidRPr="00F74A95" w:rsidRDefault="007C00C5" w:rsidP="007C00C5">
      <w:pPr>
        <w:spacing w:line="276" w:lineRule="auto"/>
        <w:jc w:val="left"/>
        <w:rPr>
          <w:rFonts w:asciiTheme="majorHAnsi" w:hAnsiTheme="majorHAnsi"/>
          <w:b/>
        </w:rPr>
      </w:pPr>
      <w:r>
        <w:t>Literatur:</w:t>
      </w:r>
      <w:r>
        <w:tab/>
      </w:r>
      <w:r>
        <w:tab/>
      </w:r>
    </w:p>
    <w:p w:rsidR="007C00C5" w:rsidRPr="007C00C5" w:rsidRDefault="007C00C5" w:rsidP="007C00C5">
      <w:r w:rsidRPr="007C00C5">
        <w:t xml:space="preserve">[4] </w:t>
      </w:r>
      <w:r w:rsidRPr="007C00C5">
        <w:rPr>
          <w:color w:val="auto"/>
        </w:rPr>
        <w:t>Uni Wien</w:t>
      </w:r>
      <w:r w:rsidRPr="007C00C5">
        <w:t xml:space="preserve">, </w:t>
      </w:r>
      <w:r w:rsidRPr="007C00C5">
        <w:rPr>
          <w:rStyle w:val="HTMLZitat"/>
        </w:rPr>
        <w:t>https://fdchemie.</w:t>
      </w:r>
      <w:r w:rsidRPr="007C00C5">
        <w:rPr>
          <w:rStyle w:val="HTMLZitat"/>
          <w:bCs/>
        </w:rPr>
        <w:t>univie</w:t>
      </w:r>
      <w:r w:rsidRPr="007C00C5">
        <w:rPr>
          <w:rStyle w:val="HTMLZitat"/>
        </w:rPr>
        <w:t>.ac.at/fileadmin/user_upload/fd_zentrum.../Woche10.pdf</w:t>
      </w:r>
      <w:r w:rsidRPr="007C00C5">
        <w:t>, S. 20-21, (zuletzt aufgerufen am 29.07.2016 um 18:03 Uhr).</w:t>
      </w:r>
    </w:p>
    <w:p w:rsidR="007C00C5" w:rsidRDefault="007C00C5" w:rsidP="007C00C5">
      <w:pPr>
        <w:rPr>
          <w:rFonts w:asciiTheme="majorHAnsi" w:hAnsiTheme="majorHAnsi"/>
        </w:rPr>
      </w:pPr>
      <w:r>
        <w:rPr>
          <w:noProof/>
          <w:lang w:eastAsia="de-DE"/>
        </w:rPr>
        <mc:AlternateContent>
          <mc:Choice Requires="wps">
            <w:drawing>
              <wp:inline distT="0" distB="0" distL="0" distR="0" wp14:anchorId="6B7E642C" wp14:editId="6AD5EECF">
                <wp:extent cx="5760720" cy="1390650"/>
                <wp:effectExtent l="0" t="0" r="11430" b="19050"/>
                <wp:docPr id="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90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00C5" w:rsidRDefault="007C00C5" w:rsidP="007C00C5">
                            <w:pPr>
                              <w:rPr>
                                <w:color w:val="auto"/>
                              </w:rPr>
                            </w:pPr>
                            <w:r>
                              <w:rPr>
                                <w:color w:val="auto"/>
                              </w:rPr>
                              <w:t xml:space="preserve">Anstelle von Kaliumiodid können auch Kaliumiodid-Tabletten verwendet werden, die aufgrund von Strahlenschutzmaßnahmen in jeder Schule vorhanden sein müssen. </w:t>
                            </w:r>
                          </w:p>
                          <w:p w:rsidR="007C00C5" w:rsidRDefault="007C00C5" w:rsidP="007C00C5">
                            <w:pPr>
                              <w:rPr>
                                <w:color w:val="auto"/>
                              </w:rPr>
                            </w:pPr>
                            <w:r>
                              <w:rPr>
                                <w:color w:val="auto"/>
                              </w:rPr>
                              <w:t xml:space="preserve">Da Phenolphtalein von SuS nicht verwendet werden darf, ist als Alternative </w:t>
                            </w:r>
                            <w:proofErr w:type="spellStart"/>
                            <w:r>
                              <w:rPr>
                                <w:color w:val="auto"/>
                              </w:rPr>
                              <w:t>Alizaringelb</w:t>
                            </w:r>
                            <w:proofErr w:type="spellEnd"/>
                            <w:r>
                              <w:rPr>
                                <w:color w:val="auto"/>
                              </w:rPr>
                              <w:t xml:space="preserve"> R oder </w:t>
                            </w:r>
                            <w:proofErr w:type="spellStart"/>
                            <w:r>
                              <w:rPr>
                                <w:color w:val="auto"/>
                              </w:rPr>
                              <w:t>Thymolphtalein</w:t>
                            </w:r>
                            <w:proofErr w:type="spellEnd"/>
                            <w:r>
                              <w:rPr>
                                <w:color w:val="auto"/>
                              </w:rPr>
                              <w:t xml:space="preserve"> als Indikator zu benutzen. Anderenfalls muss der Versuch von der Lehrkraft durchgeführt werden.</w:t>
                            </w:r>
                          </w:p>
                          <w:p w:rsidR="007C00C5" w:rsidRPr="00A71386" w:rsidRDefault="007C00C5" w:rsidP="007C00C5">
                            <w:pPr>
                              <w:rPr>
                                <w:color w:val="auto"/>
                              </w:rPr>
                            </w:pPr>
                          </w:p>
                        </w:txbxContent>
                      </wps:txbx>
                      <wps:bodyPr rot="0" vert="horz" wrap="square" lIns="91440" tIns="45720" rIns="91440" bIns="45720" anchor="t" anchorCtr="0" upright="1">
                        <a:noAutofit/>
                      </wps:bodyPr>
                    </wps:wsp>
                  </a:graphicData>
                </a:graphic>
              </wp:inline>
            </w:drawing>
          </mc:Choice>
          <mc:Fallback>
            <w:pict>
              <v:shape w14:anchorId="6B7E642C" id="Text Box 131" o:spid="_x0000_s1027" type="#_x0000_t202" style="width:453.6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" fillcolor="white [3201]" strokecolor="#ed7d31 [3205]" strokeweight="1pt">
                <v:stroke dashstyle="dash"/>
                <v:shadow color="#868686"/>
                <v:textbox>
                  <w:txbxContent>
                    <w:p w:rsidR="007C00C5" w:rsidRDefault="007C00C5" w:rsidP="007C00C5">
                      <w:pPr>
                        <w:rPr>
                          <w:color w:val="auto"/>
                        </w:rPr>
                      </w:pPr>
                      <w:r>
                        <w:rPr>
                          <w:color w:val="auto"/>
                        </w:rPr>
                        <w:t xml:space="preserve">Anstelle von Kaliumiodid können auch Kaliumiodid-Tabletten verwendet werden, die aufgrund von Strahlenschutzmaßnahmen in jeder Schule vorhanden sein müssen. </w:t>
                      </w:r>
                    </w:p>
                    <w:p w:rsidR="007C00C5" w:rsidRDefault="007C00C5" w:rsidP="007C00C5">
                      <w:pPr>
                        <w:rPr>
                          <w:color w:val="auto"/>
                        </w:rPr>
                      </w:pPr>
                      <w:r>
                        <w:rPr>
                          <w:color w:val="auto"/>
                        </w:rPr>
                        <w:t xml:space="preserve">Da Phenolphtalein von SuS nicht verwendet werden darf, ist als Alternative </w:t>
                      </w:r>
                      <w:proofErr w:type="spellStart"/>
                      <w:r>
                        <w:rPr>
                          <w:color w:val="auto"/>
                        </w:rPr>
                        <w:t>Alizaringelb</w:t>
                      </w:r>
                      <w:proofErr w:type="spellEnd"/>
                      <w:r>
                        <w:rPr>
                          <w:color w:val="auto"/>
                        </w:rPr>
                        <w:t xml:space="preserve"> R oder </w:t>
                      </w:r>
                      <w:proofErr w:type="spellStart"/>
                      <w:r>
                        <w:rPr>
                          <w:color w:val="auto"/>
                        </w:rPr>
                        <w:t>Thymolphtalein</w:t>
                      </w:r>
                      <w:proofErr w:type="spellEnd"/>
                      <w:r>
                        <w:rPr>
                          <w:color w:val="auto"/>
                        </w:rPr>
                        <w:t xml:space="preserve"> als Indikator zu benutzen. Anderenfalls muss der Versuch von der Lehrkraft durchgeführt werden.</w:t>
                      </w:r>
                    </w:p>
                    <w:p w:rsidR="007C00C5" w:rsidRPr="00A71386" w:rsidRDefault="007C00C5" w:rsidP="007C00C5">
                      <w:pPr>
                        <w:rPr>
                          <w:color w:val="auto"/>
                        </w:rPr>
                      </w:pPr>
                    </w:p>
                  </w:txbxContent>
                </v:textbox>
                <w10:anchorlock/>
              </v:shape>
            </w:pict>
          </mc:Fallback>
        </mc:AlternateConten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5"/>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C00C5"/>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C51B5A"/>
  <w15:chartTrackingRefBased/>
  <w15:docId w15:val="{DF9E5D6E-C419-4A57-A27B-1DA5409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7C00C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C00C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C00C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C00C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C00C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C00C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C00C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C00C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00C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00C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00C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C00C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C00C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C00C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C00C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C00C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C00C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00C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00C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C00C5"/>
    <w:pPr>
      <w:spacing w:line="240" w:lineRule="auto"/>
    </w:pPr>
    <w:rPr>
      <w:bCs/>
      <w:color w:val="auto"/>
      <w:sz w:val="18"/>
      <w:szCs w:val="18"/>
    </w:rPr>
  </w:style>
  <w:style w:type="table" w:styleId="Tabellenraster">
    <w:name w:val="Table Grid"/>
    <w:basedOn w:val="NormaleTabelle"/>
    <w:uiPriority w:val="59"/>
    <w:rsid w:val="007C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C0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2016-08-10T13:30:00Z</dcterms:created>
  <dcterms:modified xsi:type="dcterms:W3CDTF">2016-08-10T13:31:00Z</dcterms:modified>
</cp:coreProperties>
</file>