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944105"/>
    <w:p w14:paraId="4E24DE39" w14:textId="1EBCB773" w:rsidR="00006352" w:rsidRDefault="00006352" w:rsidP="00C47C2F">
      <w:pPr>
        <w:pStyle w:val="berschrift2"/>
        <w:numPr>
          <w:ilvl w:val="0"/>
          <w:numId w:val="0"/>
        </w:numPr>
        <w:rPr>
          <w:color w:val="auto"/>
        </w:rPr>
      </w:pPr>
      <w:r>
        <w:rPr>
          <w:noProof/>
          <w:lang w:eastAsia="de-DE"/>
        </w:rPr>
        <mc:AlternateContent>
          <mc:Choice Requires="wps">
            <w:drawing>
              <wp:anchor distT="0" distB="0" distL="114300" distR="114300" simplePos="0" relativeHeight="251660288" behindDoc="0" locked="0" layoutInCell="1" allowOverlap="1" wp14:anchorId="68D9F0E8" wp14:editId="0BFBE68D">
                <wp:simplePos x="0" y="0"/>
                <wp:positionH relativeFrom="column">
                  <wp:posOffset>-32385</wp:posOffset>
                </wp:positionH>
                <wp:positionV relativeFrom="paragraph">
                  <wp:posOffset>446405</wp:posOffset>
                </wp:positionV>
                <wp:extent cx="5854700" cy="817880"/>
                <wp:effectExtent l="3810" t="1905" r="8890" b="18415"/>
                <wp:wrapSquare wrapText="bothSides"/>
                <wp:docPr id="2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1788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73B0F5F6" w14:textId="77777777" w:rsidR="00006352" w:rsidRPr="00F31EBF" w:rsidRDefault="00006352" w:rsidP="00006352">
                            <w:pPr>
                              <w:rPr>
                                <w:color w:val="auto"/>
                              </w:rPr>
                            </w:pPr>
                            <w:r>
                              <w:rPr>
                                <w:color w:val="auto"/>
                              </w:rPr>
                              <w:t>In diesem Versuch wird das in einer Salzlösung enthaltene Lithium-Kation nachgewiesen, indem dieses unter Zugabe einer Kaliumcarbonatlösung (K</w:t>
                            </w:r>
                            <w:r w:rsidRPr="00AC620B">
                              <w:rPr>
                                <w:color w:val="auto"/>
                                <w:vertAlign w:val="subscript"/>
                              </w:rPr>
                              <w:t>2</w:t>
                            </w:r>
                            <w:r>
                              <w:rPr>
                                <w:color w:val="auto"/>
                              </w:rPr>
                              <w:t>CO</w:t>
                            </w:r>
                            <w:r w:rsidRPr="00AC620B">
                              <w:rPr>
                                <w:color w:val="auto"/>
                                <w:vertAlign w:val="subscript"/>
                              </w:rPr>
                              <w:t>3</w:t>
                            </w:r>
                            <w:r>
                              <w:rPr>
                                <w:color w:val="auto"/>
                              </w:rPr>
                              <w:t>) und anschließendem Erwärmen als Lithiumcarbonat (Li</w:t>
                            </w:r>
                            <w:r w:rsidRPr="00AC620B">
                              <w:rPr>
                                <w:color w:val="auto"/>
                                <w:vertAlign w:val="subscript"/>
                              </w:rPr>
                              <w:t>2</w:t>
                            </w:r>
                            <w:r>
                              <w:rPr>
                                <w:color w:val="auto"/>
                              </w:rPr>
                              <w:t>CO</w:t>
                            </w:r>
                            <w:r w:rsidRPr="00AC620B">
                              <w:rPr>
                                <w:color w:val="auto"/>
                                <w:vertAlign w:val="subscript"/>
                              </w:rPr>
                              <w:t>3</w:t>
                            </w:r>
                            <w:r>
                              <w:rPr>
                                <w:color w:val="auto"/>
                              </w:rPr>
                              <w:t xml:space="preserve">) ausgefällt wird.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9F0E8" id="_x0000_t202" coordsize="21600,21600" o:spt="202" path="m0,0l0,21600,21600,21600,21600,0xe">
                <v:stroke joinstyle="miter"/>
                <v:path gradientshapeok="t" o:connecttype="rect"/>
              </v:shapetype>
              <v:shape id="Text Box 135" o:spid="_x0000_s1026" type="#_x0000_t202" style="position:absolute;left:0;text-align:left;margin-left:-2.55pt;margin-top:35.15pt;width:461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" strokecolor="#4bacc6" strokeweight="1pt">
                <v:stroke dashstyle="dash"/>
                <v:textbox>
                  <w:txbxContent>
                    <w:p w14:paraId="73B0F5F6" w14:textId="77777777" w:rsidR="00006352" w:rsidRPr="00F31EBF" w:rsidRDefault="00006352" w:rsidP="00006352">
                      <w:pPr>
                        <w:rPr>
                          <w:color w:val="auto"/>
                        </w:rPr>
                      </w:pPr>
                      <w:r>
                        <w:rPr>
                          <w:color w:val="auto"/>
                        </w:rPr>
                        <w:t xml:space="preserve">In diesem Versuch wird das in einer Salzlösung enthaltene Lithium-Kation nachgewiesen, indem dieses unter Zugabe einer </w:t>
                      </w:r>
                      <w:proofErr w:type="spellStart"/>
                      <w:r>
                        <w:rPr>
                          <w:color w:val="auto"/>
                        </w:rPr>
                        <w:t>Kaliumcarbonatlösung</w:t>
                      </w:r>
                      <w:proofErr w:type="spellEnd"/>
                      <w:r>
                        <w:rPr>
                          <w:color w:val="auto"/>
                        </w:rPr>
                        <w:t xml:space="preserve"> (K</w:t>
                      </w:r>
                      <w:r w:rsidRPr="00AC620B">
                        <w:rPr>
                          <w:color w:val="auto"/>
                          <w:vertAlign w:val="subscript"/>
                        </w:rPr>
                        <w:t>2</w:t>
                      </w:r>
                      <w:r>
                        <w:rPr>
                          <w:color w:val="auto"/>
                        </w:rPr>
                        <w:t>CO</w:t>
                      </w:r>
                      <w:r w:rsidRPr="00AC620B">
                        <w:rPr>
                          <w:color w:val="auto"/>
                          <w:vertAlign w:val="subscript"/>
                        </w:rPr>
                        <w:t>3</w:t>
                      </w:r>
                      <w:r>
                        <w:rPr>
                          <w:color w:val="auto"/>
                        </w:rPr>
                        <w:t>) und anschließendem Erwärmen als Lithiumcarbonat (Li</w:t>
                      </w:r>
                      <w:r w:rsidRPr="00AC620B">
                        <w:rPr>
                          <w:color w:val="auto"/>
                          <w:vertAlign w:val="subscript"/>
                        </w:rPr>
                        <w:t>2</w:t>
                      </w:r>
                      <w:r>
                        <w:rPr>
                          <w:color w:val="auto"/>
                        </w:rPr>
                        <w:t>CO</w:t>
                      </w:r>
                      <w:r w:rsidRPr="00AC620B">
                        <w:rPr>
                          <w:color w:val="auto"/>
                          <w:vertAlign w:val="subscript"/>
                        </w:rPr>
                        <w:t>3</w:t>
                      </w:r>
                      <w:r>
                        <w:rPr>
                          <w:color w:val="auto"/>
                        </w:rPr>
                        <w:t xml:space="preserve">) ausgefällt wird. </w:t>
                      </w:r>
                    </w:p>
                  </w:txbxContent>
                </v:textbox>
                <w10:wrap type="square"/>
              </v:shape>
            </w:pict>
          </mc:Fallback>
        </mc:AlternateContent>
      </w:r>
      <w:r>
        <w:rPr>
          <w:color w:val="auto"/>
        </w:rPr>
        <w:t>Nachweis von Lithium als Li</w:t>
      </w:r>
      <w:r w:rsidRPr="00CA0F0B">
        <w:rPr>
          <w:color w:val="auto"/>
          <w:vertAlign w:val="subscript"/>
        </w:rPr>
        <w:t>2</w:t>
      </w:r>
      <w:r>
        <w:rPr>
          <w:color w:val="auto"/>
        </w:rPr>
        <w:t>CO</w:t>
      </w:r>
      <w:r w:rsidRPr="00CA0F0B">
        <w:rPr>
          <w:color w:val="auto"/>
          <w:vertAlign w:val="subscript"/>
        </w:rPr>
        <w:t>3</w:t>
      </w:r>
      <w:bookmarkEnd w:id="0"/>
    </w:p>
    <w:p w14:paraId="776E1C3A" w14:textId="77777777" w:rsidR="00006352" w:rsidRDefault="00006352" w:rsidP="00006352">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06352" w:rsidRPr="00981CE9" w14:paraId="1C61CF25" w14:textId="77777777" w:rsidTr="00E063AD">
        <w:tc>
          <w:tcPr>
            <w:tcW w:w="9322" w:type="dxa"/>
            <w:gridSpan w:val="9"/>
            <w:shd w:val="clear" w:color="auto" w:fill="4F81BD"/>
            <w:vAlign w:val="center"/>
          </w:tcPr>
          <w:p w14:paraId="563DD002" w14:textId="77777777" w:rsidR="00006352" w:rsidRPr="00981CE9" w:rsidRDefault="00006352" w:rsidP="00E063AD">
            <w:pPr>
              <w:spacing w:after="0"/>
              <w:jc w:val="center"/>
              <w:rPr>
                <w:b/>
                <w:bCs/>
                <w:color w:val="FFFFFF"/>
              </w:rPr>
            </w:pPr>
            <w:r w:rsidRPr="00981CE9">
              <w:rPr>
                <w:b/>
                <w:bCs/>
                <w:color w:val="FFFFFF"/>
              </w:rPr>
              <w:t>Gefahrenstoffe</w:t>
            </w:r>
          </w:p>
        </w:tc>
      </w:tr>
      <w:tr w:rsidR="00006352" w:rsidRPr="00981CE9" w14:paraId="4D4582FA"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F547FED" w14:textId="77777777" w:rsidR="00006352" w:rsidRDefault="00006352" w:rsidP="00E063AD">
            <w:pPr>
              <w:spacing w:after="0" w:line="276" w:lineRule="auto"/>
              <w:jc w:val="center"/>
              <w:rPr>
                <w:sz w:val="20"/>
              </w:rPr>
            </w:pPr>
            <w:r>
              <w:rPr>
                <w:sz w:val="20"/>
              </w:rPr>
              <w:t>Lithiumcarbonat</w:t>
            </w:r>
          </w:p>
        </w:tc>
        <w:tc>
          <w:tcPr>
            <w:tcW w:w="3177" w:type="dxa"/>
            <w:gridSpan w:val="3"/>
            <w:tcBorders>
              <w:top w:val="single" w:sz="8" w:space="0" w:color="4F81BD"/>
              <w:bottom w:val="single" w:sz="8" w:space="0" w:color="4F81BD"/>
            </w:tcBorders>
            <w:shd w:val="clear" w:color="auto" w:fill="auto"/>
            <w:vAlign w:val="center"/>
          </w:tcPr>
          <w:p w14:paraId="17BC9DDD" w14:textId="77777777" w:rsidR="00006352" w:rsidRPr="00981CE9" w:rsidRDefault="00006352" w:rsidP="00E063AD">
            <w:pPr>
              <w:spacing w:after="0"/>
              <w:jc w:val="center"/>
              <w:rPr>
                <w:sz w:val="20"/>
              </w:rPr>
            </w:pPr>
            <w:r>
              <w:rPr>
                <w:sz w:val="20"/>
              </w:rP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A00D704" w14:textId="77777777" w:rsidR="00006352" w:rsidRPr="00981CE9" w:rsidRDefault="00006352" w:rsidP="00E063AD">
            <w:pPr>
              <w:spacing w:after="0"/>
              <w:jc w:val="center"/>
              <w:rPr>
                <w:sz w:val="20"/>
              </w:rPr>
            </w:pPr>
            <w:r w:rsidRPr="00981CE9">
              <w:rPr>
                <w:sz w:val="20"/>
              </w:rPr>
              <w:t xml:space="preserve">P: </w:t>
            </w:r>
            <w:r>
              <w:rPr>
                <w:sz w:val="20"/>
                <w:szCs w:val="20"/>
              </w:rPr>
              <w:t>261</w:t>
            </w:r>
            <w:r w:rsidRPr="00FC4DA5">
              <w:rPr>
                <w:sz w:val="20"/>
                <w:szCs w:val="20"/>
              </w:rPr>
              <w:t>, 305+351+338</w:t>
            </w:r>
          </w:p>
        </w:tc>
      </w:tr>
      <w:tr w:rsidR="00006352" w:rsidRPr="00981CE9" w14:paraId="40645E07"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EBE9871" w14:textId="77777777" w:rsidR="00006352" w:rsidRPr="00981CE9" w:rsidRDefault="00006352" w:rsidP="00E063AD">
            <w:pPr>
              <w:spacing w:after="0" w:line="276" w:lineRule="auto"/>
              <w:jc w:val="center"/>
              <w:rPr>
                <w:b/>
                <w:bCs/>
              </w:rPr>
            </w:pPr>
            <w:r>
              <w:rPr>
                <w:sz w:val="20"/>
              </w:rPr>
              <w:t>Lithiumchlorid</w:t>
            </w:r>
            <w:r w:rsidRPr="00981CE9">
              <w:rPr>
                <w:sz w:val="20"/>
              </w:rPr>
              <w:t xml:space="preserve"> </w:t>
            </w:r>
          </w:p>
        </w:tc>
        <w:tc>
          <w:tcPr>
            <w:tcW w:w="3177" w:type="dxa"/>
            <w:gridSpan w:val="3"/>
            <w:tcBorders>
              <w:top w:val="single" w:sz="8" w:space="0" w:color="4F81BD"/>
              <w:bottom w:val="single" w:sz="8" w:space="0" w:color="4F81BD"/>
            </w:tcBorders>
            <w:shd w:val="clear" w:color="auto" w:fill="auto"/>
            <w:vAlign w:val="center"/>
          </w:tcPr>
          <w:p w14:paraId="70EB2F45" w14:textId="77777777" w:rsidR="00006352" w:rsidRPr="00981CE9" w:rsidRDefault="00006352" w:rsidP="00E063AD">
            <w:pPr>
              <w:spacing w:after="0"/>
              <w:jc w:val="center"/>
            </w:pPr>
            <w:r w:rsidRPr="00981CE9">
              <w:rPr>
                <w:sz w:val="20"/>
              </w:rPr>
              <w:t xml:space="preserve">H: </w:t>
            </w:r>
            <w:r w:rsidRPr="00FC4DA5">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9814C9A" w14:textId="77777777" w:rsidR="00006352" w:rsidRPr="00981CE9" w:rsidRDefault="00006352" w:rsidP="00E063AD">
            <w:pPr>
              <w:spacing w:after="0"/>
              <w:jc w:val="center"/>
            </w:pPr>
            <w:r w:rsidRPr="00981CE9">
              <w:rPr>
                <w:sz w:val="20"/>
              </w:rPr>
              <w:t xml:space="preserve">P: </w:t>
            </w:r>
            <w:r w:rsidRPr="00FC4DA5">
              <w:rPr>
                <w:sz w:val="20"/>
                <w:szCs w:val="20"/>
              </w:rPr>
              <w:t>302+352, 305+351+338</w:t>
            </w:r>
          </w:p>
        </w:tc>
      </w:tr>
      <w:tr w:rsidR="00006352" w:rsidRPr="00981CE9" w14:paraId="7C8D5B4C" w14:textId="77777777" w:rsidTr="00E063AD">
        <w:trPr>
          <w:trHeight w:val="434"/>
        </w:trPr>
        <w:tc>
          <w:tcPr>
            <w:tcW w:w="3027" w:type="dxa"/>
            <w:gridSpan w:val="3"/>
            <w:shd w:val="clear" w:color="auto" w:fill="auto"/>
            <w:vAlign w:val="center"/>
          </w:tcPr>
          <w:p w14:paraId="65780137" w14:textId="77777777" w:rsidR="00006352" w:rsidRPr="00981CE9" w:rsidRDefault="00006352" w:rsidP="00E063AD">
            <w:pPr>
              <w:spacing w:after="0" w:line="276" w:lineRule="auto"/>
              <w:jc w:val="center"/>
              <w:rPr>
                <w:bCs/>
                <w:sz w:val="20"/>
              </w:rPr>
            </w:pPr>
            <w:r>
              <w:rPr>
                <w:color w:val="auto"/>
                <w:sz w:val="20"/>
                <w:szCs w:val="20"/>
              </w:rPr>
              <w:t>Kaliumcarbonat</w:t>
            </w:r>
          </w:p>
        </w:tc>
        <w:tc>
          <w:tcPr>
            <w:tcW w:w="3177" w:type="dxa"/>
            <w:gridSpan w:val="3"/>
            <w:shd w:val="clear" w:color="auto" w:fill="auto"/>
            <w:vAlign w:val="center"/>
          </w:tcPr>
          <w:p w14:paraId="47D3908B" w14:textId="77777777" w:rsidR="00006352" w:rsidRPr="00981CE9" w:rsidRDefault="00006352" w:rsidP="00E063AD">
            <w:pPr>
              <w:pStyle w:val="Beschriftung"/>
              <w:spacing w:after="0"/>
              <w:jc w:val="center"/>
              <w:rPr>
                <w:sz w:val="20"/>
              </w:rPr>
            </w:pPr>
            <w:r w:rsidRPr="00981CE9">
              <w:rPr>
                <w:sz w:val="20"/>
              </w:rPr>
              <w:t xml:space="preserve">H: </w:t>
            </w:r>
            <w:r w:rsidRPr="00FF20F8">
              <w:rPr>
                <w:sz w:val="20"/>
              </w:rPr>
              <w:t>315, 319, 335</w:t>
            </w:r>
          </w:p>
        </w:tc>
        <w:tc>
          <w:tcPr>
            <w:tcW w:w="3118" w:type="dxa"/>
            <w:gridSpan w:val="3"/>
            <w:shd w:val="clear" w:color="auto" w:fill="auto"/>
            <w:vAlign w:val="center"/>
          </w:tcPr>
          <w:p w14:paraId="1A5CFE1D" w14:textId="77777777" w:rsidR="00006352" w:rsidRPr="00981CE9" w:rsidRDefault="00006352" w:rsidP="00E063AD">
            <w:pPr>
              <w:pStyle w:val="Beschriftung"/>
              <w:spacing w:after="0"/>
              <w:jc w:val="center"/>
              <w:rPr>
                <w:sz w:val="20"/>
              </w:rPr>
            </w:pPr>
            <w:r w:rsidRPr="00981CE9">
              <w:rPr>
                <w:sz w:val="20"/>
              </w:rPr>
              <w:t xml:space="preserve">P: </w:t>
            </w:r>
            <w:r>
              <w:rPr>
                <w:sz w:val="20"/>
                <w:szCs w:val="20"/>
              </w:rPr>
              <w:t>302+352</w:t>
            </w:r>
            <w:r w:rsidRPr="00FC4DA5">
              <w:rPr>
                <w:sz w:val="20"/>
                <w:szCs w:val="20"/>
              </w:rPr>
              <w:t>, 305+351+338</w:t>
            </w:r>
          </w:p>
        </w:tc>
      </w:tr>
      <w:tr w:rsidR="00006352" w:rsidRPr="00981CE9" w14:paraId="0EB5F5B6"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55F47EB9" w14:textId="77777777" w:rsidR="00006352" w:rsidRPr="00981CE9" w:rsidRDefault="00006352" w:rsidP="00E063AD">
            <w:pPr>
              <w:spacing w:after="0"/>
              <w:jc w:val="center"/>
              <w:rPr>
                <w:b/>
                <w:bCs/>
              </w:rPr>
            </w:pPr>
            <w:r>
              <w:rPr>
                <w:b/>
                <w:noProof/>
                <w:lang w:eastAsia="de-DE"/>
              </w:rPr>
              <w:drawing>
                <wp:inline distT="0" distB="0" distL="0" distR="0" wp14:anchorId="59C862C6" wp14:editId="77821E91">
                  <wp:extent cx="504825" cy="504825"/>
                  <wp:effectExtent l="0" t="0" r="3175" b="3175"/>
                  <wp:docPr id="4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FAE72D3" w14:textId="77777777" w:rsidR="00006352" w:rsidRPr="00981CE9" w:rsidRDefault="00006352" w:rsidP="00E063AD">
            <w:pPr>
              <w:spacing w:after="0"/>
              <w:jc w:val="center"/>
            </w:pPr>
            <w:r>
              <w:rPr>
                <w:noProof/>
                <w:lang w:eastAsia="de-DE"/>
              </w:rPr>
              <w:drawing>
                <wp:inline distT="0" distB="0" distL="0" distR="0" wp14:anchorId="55DB9C4E" wp14:editId="65085172">
                  <wp:extent cx="504825" cy="504825"/>
                  <wp:effectExtent l="0" t="0" r="3175" b="3175"/>
                  <wp:docPr id="4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77C68C" w14:textId="77777777" w:rsidR="00006352" w:rsidRPr="00981CE9" w:rsidRDefault="00006352" w:rsidP="00E063AD">
            <w:pPr>
              <w:spacing w:after="0"/>
              <w:jc w:val="center"/>
            </w:pPr>
            <w:r>
              <w:rPr>
                <w:noProof/>
                <w:lang w:eastAsia="de-DE"/>
              </w:rPr>
              <w:drawing>
                <wp:inline distT="0" distB="0" distL="0" distR="0" wp14:anchorId="0B297EF3" wp14:editId="51F7DF68">
                  <wp:extent cx="504825" cy="504825"/>
                  <wp:effectExtent l="0" t="0" r="3175" b="3175"/>
                  <wp:docPr id="4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8089DAF" w14:textId="77777777" w:rsidR="00006352" w:rsidRPr="00981CE9" w:rsidRDefault="00006352" w:rsidP="00E063AD">
            <w:pPr>
              <w:spacing w:after="0"/>
              <w:jc w:val="center"/>
            </w:pPr>
            <w:r>
              <w:rPr>
                <w:noProof/>
                <w:lang w:eastAsia="de-DE"/>
              </w:rPr>
              <w:drawing>
                <wp:inline distT="0" distB="0" distL="0" distR="0" wp14:anchorId="2D427C4A" wp14:editId="6AA6DEC0">
                  <wp:extent cx="504825" cy="504825"/>
                  <wp:effectExtent l="0" t="0" r="3175" b="3175"/>
                  <wp:docPr id="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D961E98" w14:textId="77777777" w:rsidR="00006352" w:rsidRPr="00981CE9" w:rsidRDefault="00006352" w:rsidP="00E063AD">
            <w:pPr>
              <w:spacing w:after="0"/>
              <w:jc w:val="center"/>
            </w:pPr>
            <w:r>
              <w:rPr>
                <w:noProof/>
                <w:lang w:eastAsia="de-DE"/>
              </w:rPr>
              <w:drawing>
                <wp:inline distT="0" distB="0" distL="0" distR="0" wp14:anchorId="1EBC4A9D" wp14:editId="38871ADD">
                  <wp:extent cx="504825" cy="504825"/>
                  <wp:effectExtent l="0" t="0" r="3175" b="3175"/>
                  <wp:docPr id="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320536E" w14:textId="77777777" w:rsidR="00006352" w:rsidRPr="00981CE9" w:rsidRDefault="00006352" w:rsidP="00E063AD">
            <w:pPr>
              <w:spacing w:after="0"/>
              <w:jc w:val="center"/>
            </w:pPr>
            <w:r>
              <w:rPr>
                <w:noProof/>
                <w:lang w:eastAsia="de-DE"/>
              </w:rPr>
              <w:drawing>
                <wp:inline distT="0" distB="0" distL="0" distR="0" wp14:anchorId="321E621C" wp14:editId="52A68D22">
                  <wp:extent cx="504825" cy="504825"/>
                  <wp:effectExtent l="0" t="0" r="3175" b="3175"/>
                  <wp:docPr id="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A2D953B" w14:textId="77777777" w:rsidR="00006352" w:rsidRPr="00981CE9" w:rsidRDefault="00006352" w:rsidP="00E063AD">
            <w:pPr>
              <w:spacing w:after="0"/>
              <w:jc w:val="center"/>
            </w:pPr>
            <w:r>
              <w:rPr>
                <w:noProof/>
                <w:lang w:eastAsia="de-DE"/>
              </w:rPr>
              <w:drawing>
                <wp:inline distT="0" distB="0" distL="0" distR="0" wp14:anchorId="5A813DB2" wp14:editId="2B28C888">
                  <wp:extent cx="504825" cy="504825"/>
                  <wp:effectExtent l="0" t="0" r="3175" b="3175"/>
                  <wp:docPr id="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1C2ABFC" w14:textId="77777777" w:rsidR="00006352" w:rsidRPr="00981CE9" w:rsidRDefault="00006352" w:rsidP="00E063AD">
            <w:pPr>
              <w:spacing w:after="0"/>
              <w:jc w:val="center"/>
            </w:pPr>
            <w:r>
              <w:rPr>
                <w:noProof/>
                <w:lang w:eastAsia="de-DE"/>
              </w:rPr>
              <w:drawing>
                <wp:inline distT="0" distB="0" distL="0" distR="0" wp14:anchorId="56A1CE57" wp14:editId="1875BDA5">
                  <wp:extent cx="511810" cy="511810"/>
                  <wp:effectExtent l="0" t="0" r="0" b="0"/>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44CBB31" w14:textId="77777777" w:rsidR="00006352" w:rsidRPr="00981CE9" w:rsidRDefault="00006352" w:rsidP="00E063AD">
            <w:pPr>
              <w:spacing w:after="0"/>
              <w:jc w:val="center"/>
            </w:pPr>
            <w:r>
              <w:rPr>
                <w:noProof/>
                <w:lang w:eastAsia="de-DE"/>
              </w:rPr>
              <w:drawing>
                <wp:inline distT="0" distB="0" distL="0" distR="0" wp14:anchorId="77F914D7" wp14:editId="29A17B43">
                  <wp:extent cx="504825" cy="504825"/>
                  <wp:effectExtent l="0" t="0" r="3175" b="3175"/>
                  <wp:docPr id="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759FEF5A" w14:textId="77777777" w:rsidR="00006352" w:rsidRDefault="00006352" w:rsidP="00006352">
      <w:pPr>
        <w:tabs>
          <w:tab w:val="left" w:pos="1701"/>
          <w:tab w:val="left" w:pos="1985"/>
        </w:tabs>
        <w:ind w:left="1980" w:hanging="1980"/>
      </w:pPr>
    </w:p>
    <w:p w14:paraId="13AE3E4B" w14:textId="77777777" w:rsidR="00006352" w:rsidRDefault="00006352" w:rsidP="00006352">
      <w:pPr>
        <w:tabs>
          <w:tab w:val="left" w:pos="1701"/>
          <w:tab w:val="left" w:pos="1985"/>
        </w:tabs>
        <w:ind w:left="2120" w:hanging="2120"/>
      </w:pPr>
      <w:r>
        <w:t xml:space="preserve">Materialien: </w:t>
      </w:r>
      <w:r>
        <w:tab/>
      </w:r>
      <w:r>
        <w:tab/>
      </w:r>
      <w:r>
        <w:tab/>
        <w:t>2 x 100 mL-Becherglas, Glasstab zum Rühren, Pipetten, Reagenzgläser, Gasbrenner, Reagenzglashalter</w:t>
      </w:r>
    </w:p>
    <w:p w14:paraId="1E987A9F" w14:textId="77777777" w:rsidR="00006352" w:rsidRPr="00ED07C2" w:rsidRDefault="00006352" w:rsidP="00006352">
      <w:pPr>
        <w:tabs>
          <w:tab w:val="left" w:pos="1701"/>
          <w:tab w:val="left" w:pos="1985"/>
        </w:tabs>
        <w:ind w:left="1980" w:hanging="1980"/>
      </w:pPr>
      <w:r>
        <w:t>Chemikalien:</w:t>
      </w:r>
      <w:r>
        <w:tab/>
      </w:r>
      <w:r>
        <w:tab/>
      </w:r>
      <w:r>
        <w:tab/>
      </w:r>
      <w:r>
        <w:tab/>
        <w:t>Lithiumchlorid, Natriumcarbonat, demin. Wasser</w:t>
      </w:r>
    </w:p>
    <w:p w14:paraId="5AA4E227" w14:textId="77777777" w:rsidR="00006352" w:rsidRDefault="00006352" w:rsidP="00006352">
      <w:pPr>
        <w:tabs>
          <w:tab w:val="left" w:pos="1701"/>
          <w:tab w:val="left" w:pos="1985"/>
        </w:tabs>
        <w:ind w:left="2120" w:hanging="2120"/>
      </w:pPr>
      <w:r>
        <w:t xml:space="preserve">Durchführung: </w:t>
      </w:r>
      <w:r>
        <w:tab/>
      </w:r>
      <w:r>
        <w:tab/>
      </w:r>
      <w:r>
        <w:tab/>
      </w:r>
      <w:r>
        <w:tab/>
        <w:t>In den beiden 100 mL-Bechergläsern werden Lösungen von Lithiumchlorid und Kaliumcarbonat mit demin. Wasser hergestellt. In ein Reagenzglas werden nun je zwei Milliliter der hergestellten Lösungen pipettiert. Das Reagenzglas wird anschließend mit einem Reagenzglashalter in der Brennerflamme erwärmt.</w:t>
      </w:r>
    </w:p>
    <w:p w14:paraId="0284DB72" w14:textId="77777777" w:rsidR="00006352" w:rsidRDefault="00006352" w:rsidP="00006352">
      <w:pPr>
        <w:tabs>
          <w:tab w:val="left" w:pos="1701"/>
          <w:tab w:val="left" w:pos="1985"/>
        </w:tabs>
        <w:ind w:left="2120" w:hanging="2120"/>
      </w:pPr>
      <w:r>
        <w:t>Beobachtung:</w:t>
      </w:r>
      <w:r>
        <w:tab/>
      </w:r>
      <w:r>
        <w:tab/>
      </w:r>
      <w:r>
        <w:tab/>
      </w:r>
      <w:r>
        <w:tab/>
        <w:t>Beim Vereinigen der beiden Lösungen kann noch keine Veränderung festgestellt werden. Kurz nach dem Erwärmen der Salzlösungen bildet sich allerdings ein weiß-gelblicher Niederschlag, der sich auf dem Boden des Reagenzglases absetzt.</w:t>
      </w:r>
    </w:p>
    <w:p w14:paraId="3DE35FC2" w14:textId="77777777" w:rsidR="00006352" w:rsidRDefault="00006352" w:rsidP="00006352">
      <w:pPr>
        <w:keepNext/>
        <w:tabs>
          <w:tab w:val="left" w:pos="1701"/>
          <w:tab w:val="left" w:pos="1985"/>
        </w:tabs>
        <w:ind w:left="1980" w:hanging="1980"/>
      </w:pPr>
      <w:r>
        <w:rPr>
          <w:noProof/>
          <w:lang w:eastAsia="de-DE"/>
        </w:rPr>
        <w:lastRenderedPageBreak/>
        <w:tab/>
      </w:r>
      <w:r>
        <w:rPr>
          <w:noProof/>
          <w:lang w:eastAsia="de-DE"/>
        </w:rPr>
        <w:tab/>
      </w:r>
      <w:r>
        <w:rPr>
          <w:noProof/>
          <w:lang w:eastAsia="de-DE"/>
        </w:rPr>
        <w:tab/>
      </w:r>
      <w:r>
        <w:rPr>
          <w:noProof/>
          <w:lang w:eastAsia="de-DE"/>
        </w:rPr>
        <w:tab/>
      </w:r>
      <w:r>
        <w:rPr>
          <w:noProof/>
          <w:lang w:eastAsia="de-DE"/>
        </w:rPr>
        <w:tab/>
      </w:r>
      <w:r>
        <w:rPr>
          <w:noProof/>
          <w:lang w:eastAsia="de-DE"/>
        </w:rPr>
        <w:drawing>
          <wp:inline distT="0" distB="0" distL="0" distR="0" wp14:anchorId="33027642" wp14:editId="677191DB">
            <wp:extent cx="1835624" cy="2501952"/>
            <wp:effectExtent l="0" t="0" r="0" b="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33.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837101" cy="2503966"/>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Start w:id="1" w:name="_GoBack"/>
      <w:bookmarkEnd w:id="1"/>
    </w:p>
    <w:p w14:paraId="56DD69EC" w14:textId="77777777" w:rsidR="00006352" w:rsidRDefault="00006352" w:rsidP="00006352">
      <w:pPr>
        <w:pStyle w:val="Beschriftung"/>
        <w:jc w:val="center"/>
      </w:pPr>
      <w:r w:rsidRPr="006E5D44">
        <w:rPr>
          <w:b/>
        </w:rPr>
        <w:t xml:space="preserve">Abbildung </w:t>
      </w:r>
      <w:r>
        <w:rPr>
          <w:b/>
        </w:rPr>
        <w:t>3</w:t>
      </w:r>
      <w:r w:rsidRPr="006E5D44">
        <w:rPr>
          <w:b/>
        </w:rPr>
        <w:t>:</w:t>
      </w:r>
      <w:r>
        <w:t xml:space="preserve"> Gelblicher Niederschlag von Li</w:t>
      </w:r>
      <w:r w:rsidRPr="006E5D44">
        <w:rPr>
          <w:vertAlign w:val="subscript"/>
        </w:rPr>
        <w:t>2</w:t>
      </w:r>
      <w:r>
        <w:t>CO</w:t>
      </w:r>
      <w:r w:rsidRPr="006E5D44">
        <w:rPr>
          <w:vertAlign w:val="subscript"/>
        </w:rPr>
        <w:t>3</w:t>
      </w:r>
      <w:r>
        <w:rPr>
          <w:noProof/>
        </w:rPr>
        <w:t>.</w:t>
      </w:r>
    </w:p>
    <w:p w14:paraId="0735686A" w14:textId="77777777" w:rsidR="00006352" w:rsidRDefault="00006352" w:rsidP="00006352">
      <w:pPr>
        <w:tabs>
          <w:tab w:val="left" w:pos="1701"/>
          <w:tab w:val="left" w:pos="1985"/>
        </w:tabs>
        <w:ind w:left="2124" w:hanging="2124"/>
      </w:pPr>
      <w:r>
        <w:t>Deutung:</w:t>
      </w:r>
      <w:r>
        <w:tab/>
      </w:r>
      <w:r>
        <w:tab/>
      </w:r>
      <w:r>
        <w:tab/>
        <w:t>Kurz nach dem Erwärmen reagieren die Lösung vorliegenden Lithium-Kationen mit den Carbonationen unter Bildung von Lithiumcarbonat.</w:t>
      </w:r>
    </w:p>
    <w:p w14:paraId="26F370A4" w14:textId="77777777" w:rsidR="00006352" w:rsidRDefault="00006352" w:rsidP="00006352">
      <w:pPr>
        <w:tabs>
          <w:tab w:val="left" w:pos="1701"/>
          <w:tab w:val="left" w:pos="1985"/>
        </w:tabs>
        <w:ind w:left="2124" w:hanging="2124"/>
      </w:pPr>
      <w:r>
        <w:tab/>
      </w:r>
      <w:r>
        <w:tab/>
      </w:r>
      <w:r>
        <w:tab/>
        <w:t>Aufgrund des geringeren Löslichkeitsproduktes (K</w:t>
      </w:r>
      <w:r w:rsidRPr="00A17A6A">
        <w:rPr>
          <w:vertAlign w:val="subscript"/>
        </w:rPr>
        <w:t>L</w:t>
      </w:r>
      <w:r>
        <w:rPr>
          <w:vertAlign w:val="subscript"/>
        </w:rPr>
        <w:t xml:space="preserve"> </w:t>
      </w:r>
      <w:r w:rsidRPr="00A17A6A">
        <w:t>(Li</w:t>
      </w:r>
      <w:r>
        <w:rPr>
          <w:vertAlign w:val="subscript"/>
        </w:rPr>
        <w:t>2</w:t>
      </w:r>
      <w:r w:rsidRPr="00A17A6A">
        <w:t>CO</w:t>
      </w:r>
      <w:r>
        <w:rPr>
          <w:vertAlign w:val="subscript"/>
        </w:rPr>
        <w:t>3</w:t>
      </w:r>
      <w:r w:rsidRPr="00A17A6A">
        <w:t>)</w:t>
      </w:r>
      <w:r>
        <w:t xml:space="preserve"> = </w:t>
      </w:r>
      <w:r>
        <w:br/>
        <w:t>1,3 x 10</w:t>
      </w:r>
      <w:r w:rsidRPr="00A17A6A">
        <w:rPr>
          <w:vertAlign w:val="superscript"/>
        </w:rPr>
        <w:t>-5</w:t>
      </w:r>
      <w:r>
        <w:t xml:space="preserve"> mol L</w:t>
      </w:r>
      <w:r>
        <w:rPr>
          <w:vertAlign w:val="superscript"/>
        </w:rPr>
        <w:t>-1</w:t>
      </w:r>
      <w:r>
        <w:t>) fällt Lithiumcarbonat dann als Feststoff aus. Das Löslichkeitsprodukt sollte an dieser Stelle jedoch nicht im im Detail thematisiert werden.</w:t>
      </w:r>
    </w:p>
    <w:p w14:paraId="64351E04" w14:textId="77777777" w:rsidR="00006352" w:rsidRDefault="00006352" w:rsidP="00006352">
      <w:pPr>
        <w:tabs>
          <w:tab w:val="left" w:pos="1701"/>
          <w:tab w:val="left" w:pos="1985"/>
        </w:tabs>
        <w:ind w:left="2124" w:hanging="2124"/>
      </w:pPr>
      <w:r>
        <w:tab/>
      </w:r>
      <w:r>
        <w:tab/>
      </w:r>
      <w:r>
        <w:tab/>
      </w:r>
      <w:r>
        <w:rPr>
          <w:noProof/>
          <w:lang w:eastAsia="de-DE"/>
        </w:rPr>
        <w:drawing>
          <wp:inline distT="0" distB="0" distL="0" distR="0" wp14:anchorId="38A96832" wp14:editId="560F1D3B">
            <wp:extent cx="1625600" cy="203200"/>
            <wp:effectExtent l="0" t="0" r="0" b="0"/>
            <wp:docPr id="109" name="Bild 109" descr="Macintosh HD:Users:ansgarmisch:Desktop:latex-image-2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latex-image-20.pdf"/>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625600" cy="203200"/>
                    </a:xfrm>
                    <a:prstGeom prst="rect">
                      <a:avLst/>
                    </a:prstGeom>
                    <a:noFill/>
                    <a:ln>
                      <a:noFill/>
                    </a:ln>
                  </pic:spPr>
                </pic:pic>
              </a:graphicData>
            </a:graphic>
          </wp:inline>
        </w:drawing>
      </w:r>
    </w:p>
    <w:p w14:paraId="64CD6282" w14:textId="77777777" w:rsidR="00006352" w:rsidRDefault="00006352" w:rsidP="00006352">
      <w:pPr>
        <w:tabs>
          <w:tab w:val="left" w:pos="1701"/>
          <w:tab w:val="left" w:pos="1985"/>
        </w:tabs>
        <w:ind w:left="2124" w:hanging="2124"/>
      </w:pPr>
      <w:r>
        <w:tab/>
      </w:r>
      <w:r>
        <w:tab/>
      </w:r>
      <w:r>
        <w:tab/>
      </w:r>
      <w:r>
        <w:rPr>
          <w:noProof/>
          <w:lang w:eastAsia="de-DE"/>
        </w:rPr>
        <w:drawing>
          <wp:inline distT="0" distB="0" distL="0" distR="0" wp14:anchorId="1CE14849" wp14:editId="099EE8EC">
            <wp:extent cx="1955800" cy="215900"/>
            <wp:effectExtent l="0" t="0" r="0" b="12700"/>
            <wp:docPr id="114" name="Bild 114" descr="Macintosh HD:Users:ansgarmisch:Desktop:latex-image-2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sgarmisch:Desktop:latex-image-21.pdf"/>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955800" cy="215900"/>
                    </a:xfrm>
                    <a:prstGeom prst="rect">
                      <a:avLst/>
                    </a:prstGeom>
                    <a:noFill/>
                    <a:ln>
                      <a:noFill/>
                    </a:ln>
                  </pic:spPr>
                </pic:pic>
              </a:graphicData>
            </a:graphic>
          </wp:inline>
        </w:drawing>
      </w:r>
    </w:p>
    <w:p w14:paraId="3648F403" w14:textId="77777777" w:rsidR="00006352" w:rsidRPr="00981CE9" w:rsidRDefault="00006352" w:rsidP="00006352">
      <w:pPr>
        <w:tabs>
          <w:tab w:val="left" w:pos="2429"/>
        </w:tabs>
        <w:ind w:left="2124" w:hanging="2124"/>
        <w:rPr>
          <w:rFonts w:eastAsia="MS Mincho"/>
        </w:rPr>
      </w:pPr>
      <w:r>
        <w:rPr>
          <w:rFonts w:eastAsia="MS Mincho"/>
        </w:rPr>
        <w:tab/>
      </w:r>
      <w:r w:rsidRPr="00006352">
        <w:rPr>
          <w:rFonts w:eastAsia="MS Mincho"/>
          <w:noProof/>
          <w:lang w:eastAsia="de-DE"/>
        </w:rPr>
        <w:drawing>
          <wp:inline distT="0" distB="0" distL="0" distR="0" wp14:anchorId="305A5564" wp14:editId="148AA4E3">
            <wp:extent cx="2146300" cy="215900"/>
            <wp:effectExtent l="0" t="0" r="12700" b="12700"/>
            <wp:docPr id="115" name="Bild 115" descr="Macintosh HD:Users:ansgarmisch:Desktop:latex-image-2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sgarmisch:Desktop:latex-image-22.pdf"/>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46300" cy="215900"/>
                    </a:xfrm>
                    <a:prstGeom prst="rect">
                      <a:avLst/>
                    </a:prstGeom>
                    <a:noFill/>
                    <a:ln>
                      <a:noFill/>
                    </a:ln>
                  </pic:spPr>
                </pic:pic>
              </a:graphicData>
            </a:graphic>
          </wp:inline>
        </w:drawing>
      </w:r>
    </w:p>
    <w:p w14:paraId="27C5E850" w14:textId="77777777" w:rsidR="00006352" w:rsidRDefault="00006352" w:rsidP="00006352">
      <w:pPr>
        <w:ind w:left="2120" w:hanging="2120"/>
        <w:jc w:val="left"/>
      </w:pPr>
      <w:r>
        <w:t>Entsorgung:</w:t>
      </w:r>
      <w:r>
        <w:tab/>
        <w:t xml:space="preserve">Die Entsorgung der wässrigen Lösungen erfolgt nach Neutralisation im Ausguss. </w:t>
      </w:r>
    </w:p>
    <w:p w14:paraId="6E6E1B01" w14:textId="77777777" w:rsidR="00006352" w:rsidRPr="00981CE9" w:rsidRDefault="00006352" w:rsidP="00006352">
      <w:pPr>
        <w:ind w:left="2124" w:hanging="2120"/>
        <w:jc w:val="left"/>
        <w:rPr>
          <w:rFonts w:eastAsia="MS Gothic" w:cs="Times New Roman"/>
          <w:b/>
          <w:bCs/>
          <w:sz w:val="28"/>
          <w:szCs w:val="28"/>
        </w:rPr>
      </w:pPr>
      <w:r>
        <w:t>Literatur:</w:t>
      </w:r>
      <w:r>
        <w:tab/>
        <w:t>[1] Strähle, J. und Schweda, E.; Jander, Blasius – Lehrbuch der analytischen und präparativen anorganischen Chemie; 16. Auflage; 2006; Hirzel Verlag; Stuttgart, S. 383</w:t>
      </w:r>
    </w:p>
    <w:p w14:paraId="110EDC51" w14:textId="77777777" w:rsidR="00006352" w:rsidRPr="00981CE9" w:rsidRDefault="00006352" w:rsidP="00006352"/>
    <w:p w14:paraId="0226D916" w14:textId="77777777" w:rsidR="00006352" w:rsidRDefault="00006352" w:rsidP="00006352">
      <w:pPr>
        <w:tabs>
          <w:tab w:val="left" w:pos="1701"/>
          <w:tab w:val="left" w:pos="1985"/>
        </w:tabs>
        <w:ind w:left="1980" w:hanging="1980"/>
      </w:pPr>
      <w:r>
        <w:rPr>
          <w:noProof/>
          <w:lang w:eastAsia="de-DE"/>
        </w:rPr>
        <mc:AlternateContent>
          <mc:Choice Requires="wps">
            <w:drawing>
              <wp:anchor distT="0" distB="0" distL="114300" distR="114300" simplePos="0" relativeHeight="251659264" behindDoc="0" locked="0" layoutInCell="1" allowOverlap="1" wp14:anchorId="25E45DDA" wp14:editId="44F12F50">
                <wp:simplePos x="0" y="0"/>
                <wp:positionH relativeFrom="character">
                  <wp:posOffset>-48260</wp:posOffset>
                </wp:positionH>
                <wp:positionV relativeFrom="line">
                  <wp:posOffset>24130</wp:posOffset>
                </wp:positionV>
                <wp:extent cx="5802630" cy="820420"/>
                <wp:effectExtent l="635" t="0" r="13335" b="1905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2042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290D56B8" w14:textId="77777777" w:rsidR="00006352" w:rsidRPr="00CA0F0B" w:rsidRDefault="00006352" w:rsidP="00006352">
                            <w:pPr>
                              <w:rPr>
                                <w:color w:val="auto"/>
                              </w:rPr>
                            </w:pPr>
                            <w:r w:rsidRPr="00CA0F0B">
                              <w:rPr>
                                <w:color w:val="auto"/>
                              </w:rPr>
                              <w:t>Die</w:t>
                            </w:r>
                            <w:r>
                              <w:rPr>
                                <w:color w:val="auto"/>
                              </w:rPr>
                              <w:t>ser Versuch dient als Nachweis von Lithium aus verschiedenen Salzlösungen. Er ist allerdings störanfällig gegenüber Ammoniumionen. Von der Verwendung von Ammoniumsalzen sollte daher abgesehen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45DDA" id="Text Box 134" o:spid="_x0000_s1027" type="#_x0000_t202" style="position:absolute;margin-left:-3.8pt;margin-top:1.9pt;width:456.9pt;height:64.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" strokecolor="#c0504d" strokeweight="1pt">
                <v:stroke dashstyle="dash"/>
                <v:textbox>
                  <w:txbxContent>
                    <w:p w14:paraId="290D56B8" w14:textId="77777777" w:rsidR="00006352" w:rsidRPr="00CA0F0B" w:rsidRDefault="00006352" w:rsidP="00006352">
                      <w:pPr>
                        <w:rPr>
                          <w:color w:val="auto"/>
                        </w:rPr>
                      </w:pPr>
                      <w:r w:rsidRPr="00CA0F0B">
                        <w:rPr>
                          <w:color w:val="auto"/>
                        </w:rPr>
                        <w:t>Die</w:t>
                      </w:r>
                      <w:r>
                        <w:rPr>
                          <w:color w:val="auto"/>
                        </w:rPr>
                        <w:t xml:space="preserve">ser Versuch dient als Nachweis von Lithium aus verschiedenen Salzlösungen. Er ist allerdings störanfällig gegenüber </w:t>
                      </w:r>
                      <w:proofErr w:type="spellStart"/>
                      <w:r>
                        <w:rPr>
                          <w:color w:val="auto"/>
                        </w:rPr>
                        <w:t>Ammoniumionen</w:t>
                      </w:r>
                      <w:proofErr w:type="spellEnd"/>
                      <w:r>
                        <w:rPr>
                          <w:color w:val="auto"/>
                        </w:rPr>
                        <w:t>. Von der Verwendung von Ammoniumsalzen sollte daher abgesehen werden.</w:t>
                      </w:r>
                    </w:p>
                  </w:txbxContent>
                </v:textbox>
                <w10:wrap anchory="line"/>
              </v:shape>
            </w:pict>
          </mc:Fallback>
        </mc:AlternateContent>
      </w:r>
    </w:p>
    <w:p w14:paraId="2762C350" w14:textId="77777777" w:rsidR="00006352" w:rsidRDefault="00006352" w:rsidP="00006352">
      <w:pPr>
        <w:tabs>
          <w:tab w:val="left" w:pos="1701"/>
          <w:tab w:val="left" w:pos="1985"/>
        </w:tabs>
        <w:ind w:left="1980" w:hanging="1980"/>
      </w:pPr>
      <w:r>
        <w:fldChar w:fldCharType="begin" w:fldLock="1"/>
      </w:r>
      <w:r>
        <w:instrText xml:space="preserve"> USERPROPERTY  \* MERGEFORMAT </w:instrText>
      </w:r>
      <w:r>
        <w:fldChar w:fldCharType="end"/>
      </w:r>
    </w:p>
    <w:p w14:paraId="202FDBCF" w14:textId="77777777" w:rsidR="00CE5A70" w:rsidRDefault="00432C81"/>
    <w:sectPr w:rsidR="00CE5A70" w:rsidSect="00D76F6E">
      <w:footerReference w:type="even" r:id="rId20"/>
      <w:footerReference w:type="default" r:id="rId2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570FF" w14:textId="77777777" w:rsidR="00432C81" w:rsidRDefault="00432C81" w:rsidP="00C47C2F">
      <w:pPr>
        <w:spacing w:after="0" w:line="240" w:lineRule="auto"/>
      </w:pPr>
      <w:r>
        <w:separator/>
      </w:r>
    </w:p>
  </w:endnote>
  <w:endnote w:type="continuationSeparator" w:id="0">
    <w:p w14:paraId="5303C457" w14:textId="77777777" w:rsidR="00432C81" w:rsidRDefault="00432C81" w:rsidP="00C4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3660" w14:textId="77777777" w:rsidR="00C47C2F" w:rsidRDefault="00C47C2F"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3EDC2F6" w14:textId="77777777" w:rsidR="00C47C2F" w:rsidRDefault="00C47C2F" w:rsidP="00C47C2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37A0" w14:textId="77777777" w:rsidR="00C47C2F" w:rsidRDefault="00C47C2F"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32C81">
      <w:rPr>
        <w:rStyle w:val="Seitenzahl"/>
        <w:noProof/>
      </w:rPr>
      <w:t>1</w:t>
    </w:r>
    <w:r>
      <w:rPr>
        <w:rStyle w:val="Seitenzahl"/>
      </w:rPr>
      <w:fldChar w:fldCharType="end"/>
    </w:r>
  </w:p>
  <w:p w14:paraId="7FD9DAF0" w14:textId="77777777" w:rsidR="00C47C2F" w:rsidRDefault="00C47C2F" w:rsidP="00C47C2F">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6607" w14:textId="77777777" w:rsidR="00432C81" w:rsidRDefault="00432C81" w:rsidP="00C47C2F">
      <w:pPr>
        <w:spacing w:after="0" w:line="240" w:lineRule="auto"/>
      </w:pPr>
      <w:r>
        <w:separator/>
      </w:r>
    </w:p>
  </w:footnote>
  <w:footnote w:type="continuationSeparator" w:id="0">
    <w:p w14:paraId="5B49E2D5" w14:textId="77777777" w:rsidR="00432C81" w:rsidRDefault="00432C81" w:rsidP="00C47C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52"/>
    <w:rsid w:val="00006352"/>
    <w:rsid w:val="00432C81"/>
    <w:rsid w:val="00BE2208"/>
    <w:rsid w:val="00C47C2F"/>
    <w:rsid w:val="00D76F6E"/>
    <w:rsid w:val="00DE4E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7624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06352"/>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
    <w:uiPriority w:val="9"/>
    <w:qFormat/>
    <w:rsid w:val="00006352"/>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006352"/>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006352"/>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006352"/>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006352"/>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006352"/>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006352"/>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006352"/>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006352"/>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6352"/>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006352"/>
    <w:rPr>
      <w:rFonts w:ascii="Cambria" w:eastAsia="MS Gothic" w:hAnsi="Cambria" w:cs="Times New Roman"/>
      <w:b/>
      <w:bCs/>
      <w:color w:val="1D1B11"/>
      <w:sz w:val="22"/>
      <w:szCs w:val="26"/>
    </w:rPr>
  </w:style>
  <w:style w:type="character" w:customStyle="1" w:styleId="berschrift3Zchn">
    <w:name w:val="Überschrift 3 Zchn"/>
    <w:basedOn w:val="Absatz-Standardschriftart"/>
    <w:link w:val="berschrift3"/>
    <w:uiPriority w:val="9"/>
    <w:rsid w:val="00006352"/>
    <w:rPr>
      <w:rFonts w:ascii="Cambria" w:eastAsia="MS Gothic"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006352"/>
    <w:rPr>
      <w:rFonts w:ascii="Cambria" w:eastAsia="MS Gothic"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006352"/>
    <w:rPr>
      <w:rFonts w:ascii="Cambria" w:eastAsia="MS Gothic"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006352"/>
    <w:rPr>
      <w:rFonts w:ascii="Cambria" w:eastAsia="MS Gothic"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006352"/>
    <w:rPr>
      <w:rFonts w:ascii="Cambria" w:eastAsia="MS Gothic"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006352"/>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06352"/>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635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0635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06352"/>
    <w:rPr>
      <w:rFonts w:ascii="Times New Roman" w:eastAsia="Calibri" w:hAnsi="Times New Roman" w:cs="Times New Roman"/>
      <w:color w:val="1D1B11"/>
      <w:sz w:val="18"/>
      <w:szCs w:val="18"/>
    </w:rPr>
  </w:style>
  <w:style w:type="paragraph" w:styleId="Fuzeile">
    <w:name w:val="footer"/>
    <w:basedOn w:val="Standard"/>
    <w:link w:val="FuzeileZchn"/>
    <w:uiPriority w:val="99"/>
    <w:unhideWhenUsed/>
    <w:rsid w:val="00C47C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7C2F"/>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C4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image" Target="media/image13.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1487</Characters>
  <Application>Microsoft Macintosh Word</Application>
  <DocSecurity>0</DocSecurity>
  <Lines>12</Lines>
  <Paragraphs>3</Paragraphs>
  <ScaleCrop>false</ScaleCrop>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2016-08-11T17:33:00Z</dcterms:created>
  <dcterms:modified xsi:type="dcterms:W3CDTF">2016-08-11T17:33:00Z</dcterms:modified>
</cp:coreProperties>
</file>