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FF7" w:rsidRPr="00FF2FF7" w:rsidRDefault="00FF2FF7" w:rsidP="00FF2FF7">
      <w:pPr>
        <w:keepNext/>
        <w:keepLines/>
        <w:numPr>
          <w:ilvl w:val="1"/>
          <w:numId w:val="0"/>
        </w:numPr>
        <w:spacing w:before="200" w:after="0" w:line="360" w:lineRule="auto"/>
        <w:ind w:left="576" w:hanging="576"/>
        <w:contextualSpacing/>
        <w:jc w:val="both"/>
        <w:outlineLvl w:val="1"/>
        <w:rPr>
          <w:rFonts w:ascii="Cambria" w:eastAsia="MS Gothic" w:hAnsi="Cambria" w:cs="Times New Roman"/>
          <w:b/>
          <w:bCs/>
          <w:szCs w:val="26"/>
        </w:rPr>
      </w:pPr>
      <w:bookmarkStart w:id="0" w:name="_Toc489547463"/>
      <w:r w:rsidRPr="00FF2FF7">
        <w:rPr>
          <w:rFonts w:ascii="Cambria" w:eastAsia="MS Gothic" w:hAnsi="Cambria" w:cs="Times New Roman"/>
          <w:b/>
          <w:bCs/>
          <w:szCs w:val="26"/>
        </w:rPr>
        <w:t>V1 – Brennbarkeit von Alkanen</w:t>
      </w:r>
      <w:bookmarkEnd w:id="0"/>
    </w:p>
    <w:p w:rsidR="00FF2FF7" w:rsidRPr="00FF2FF7" w:rsidRDefault="00FF2FF7" w:rsidP="00FF2FF7">
      <w:pPr>
        <w:spacing w:after="0" w:line="360" w:lineRule="auto"/>
        <w:contextualSpacing/>
        <w:jc w:val="both"/>
        <w:rPr>
          <w:rFonts w:ascii="Cambria" w:eastAsia="Calibri" w:hAnsi="Cambria" w:cs="Arial"/>
          <w:i/>
        </w:rPr>
      </w:pPr>
      <w:bookmarkStart w:id="1" w:name="_Toc425776595"/>
      <w:bookmarkStart w:id="2" w:name="_Toc456688591"/>
      <w:bookmarkStart w:id="3" w:name="_Toc456688607"/>
      <w:bookmarkEnd w:id="1"/>
      <w:bookmarkEnd w:id="2"/>
      <w:bookmarkEnd w:id="3"/>
      <w:r w:rsidRPr="00FF2FF7">
        <w:rPr>
          <w:rFonts w:ascii="Cambria" w:eastAsia="Calibri" w:hAnsi="Cambria" w:cs="Arial"/>
          <w:i/>
        </w:rPr>
        <w:t xml:space="preserve">In diesem Versuch werden Heptan, Paraffinöl und Petroleumbenzin auf ihre Brennbarkeit untersucht. Dass Paraffinöl und Petroleumbenzin Gemische aus unterschiedlich langen Alkanen sind, müssen die </w:t>
      </w:r>
      <w:proofErr w:type="spellStart"/>
      <w:r w:rsidRPr="00FF2FF7">
        <w:rPr>
          <w:rFonts w:ascii="Cambria" w:eastAsia="Calibri" w:hAnsi="Cambria" w:cs="Arial"/>
          <w:i/>
        </w:rPr>
        <w:t>SuS</w:t>
      </w:r>
      <w:proofErr w:type="spellEnd"/>
      <w:r w:rsidRPr="00FF2FF7">
        <w:rPr>
          <w:rFonts w:ascii="Cambria" w:eastAsia="Calibri" w:hAnsi="Cambria" w:cs="Arial"/>
          <w:i/>
        </w:rPr>
        <w:t xml:space="preserve"> als Vorwissen besitzen.</w:t>
      </w:r>
    </w:p>
    <w:p w:rsidR="00FF2FF7" w:rsidRPr="00FF2FF7" w:rsidRDefault="00FF2FF7" w:rsidP="00FF2FF7">
      <w:pPr>
        <w:spacing w:after="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F2FF7" w:rsidRPr="00FF2FF7" w:rsidTr="00B21DDD">
        <w:tc>
          <w:tcPr>
            <w:tcW w:w="9322" w:type="dxa"/>
            <w:gridSpan w:val="9"/>
            <w:tcBorders>
              <w:bottom w:val="single" w:sz="8" w:space="0" w:color="4F81BD"/>
            </w:tcBorders>
            <w:shd w:val="clear" w:color="auto" w:fill="4F81BD"/>
            <w:vAlign w:val="center"/>
          </w:tcPr>
          <w:p w:rsidR="00FF2FF7" w:rsidRPr="00FF2FF7" w:rsidRDefault="00FF2FF7" w:rsidP="00FF2FF7">
            <w:pPr>
              <w:spacing w:after="0" w:line="360" w:lineRule="auto"/>
              <w:contextualSpacing/>
              <w:jc w:val="both"/>
              <w:rPr>
                <w:rFonts w:ascii="Cambria" w:eastAsia="Calibri" w:hAnsi="Cambria" w:cs="Arial"/>
                <w:b/>
                <w:bCs/>
                <w:color w:val="FFFFFF"/>
              </w:rPr>
            </w:pPr>
            <w:r w:rsidRPr="00FF2FF7">
              <w:rPr>
                <w:rFonts w:ascii="Cambria" w:eastAsia="Calibri" w:hAnsi="Cambria" w:cs="Arial"/>
                <w:b/>
                <w:bCs/>
                <w:color w:val="FFFFFF"/>
              </w:rPr>
              <w:t>Gefahrenstoffe</w:t>
            </w:r>
          </w:p>
        </w:tc>
      </w:tr>
      <w:tr w:rsidR="00FF2FF7" w:rsidRPr="00FF2FF7" w:rsidTr="00B21DDD">
        <w:trPr>
          <w:trHeight w:val="434"/>
        </w:trPr>
        <w:tc>
          <w:tcPr>
            <w:tcW w:w="3027" w:type="dxa"/>
            <w:gridSpan w:val="3"/>
            <w:tcBorders>
              <w:top w:val="single" w:sz="8" w:space="0" w:color="4F81BD"/>
              <w:bottom w:val="single" w:sz="8" w:space="0" w:color="4F81BD"/>
              <w:right w:val="nil"/>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bCs/>
                <w:color w:val="1D1B11"/>
                <w:sz w:val="20"/>
              </w:rPr>
            </w:pPr>
            <w:r w:rsidRPr="00FF2FF7">
              <w:rPr>
                <w:rFonts w:ascii="Cambria" w:eastAsia="Calibri" w:hAnsi="Cambria" w:cs="Arial"/>
                <w:sz w:val="20"/>
                <w:szCs w:val="20"/>
              </w:rPr>
              <w:t>n-Heptan</w:t>
            </w:r>
          </w:p>
        </w:tc>
        <w:tc>
          <w:tcPr>
            <w:tcW w:w="3177" w:type="dxa"/>
            <w:gridSpan w:val="3"/>
            <w:tcBorders>
              <w:top w:val="single" w:sz="8" w:space="0" w:color="4F81BD"/>
              <w:left w:val="nil"/>
              <w:bottom w:val="single" w:sz="8" w:space="0" w:color="4F81BD"/>
              <w:right w:val="nil"/>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bCs/>
                <w:sz w:val="20"/>
                <w:szCs w:val="20"/>
              </w:rPr>
            </w:pPr>
            <w:r w:rsidRPr="00FF2FF7">
              <w:rPr>
                <w:rFonts w:ascii="Cambria" w:eastAsia="Calibri" w:hAnsi="Cambria" w:cs="Arial"/>
                <w:bCs/>
                <w:sz w:val="20"/>
                <w:szCs w:val="20"/>
              </w:rPr>
              <w:t>H: 225, 304, 315, 336, 410</w:t>
            </w:r>
          </w:p>
        </w:tc>
        <w:tc>
          <w:tcPr>
            <w:tcW w:w="3118" w:type="dxa"/>
            <w:gridSpan w:val="3"/>
            <w:tcBorders>
              <w:top w:val="single" w:sz="8" w:space="0" w:color="4F81BD"/>
              <w:left w:val="nil"/>
              <w:bottom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bCs/>
                <w:sz w:val="20"/>
                <w:szCs w:val="20"/>
              </w:rPr>
            </w:pPr>
            <w:r w:rsidRPr="00FF2FF7">
              <w:rPr>
                <w:rFonts w:ascii="Cambria" w:eastAsia="Calibri" w:hAnsi="Cambria" w:cs="Arial"/>
                <w:bCs/>
                <w:sz w:val="20"/>
                <w:szCs w:val="20"/>
              </w:rPr>
              <w:t>P: 210, 273, 301+310, 331, 302+352, 403+235</w:t>
            </w:r>
          </w:p>
        </w:tc>
      </w:tr>
      <w:tr w:rsidR="00FF2FF7" w:rsidRPr="00FF2FF7" w:rsidTr="00B21DDD">
        <w:trPr>
          <w:trHeight w:val="434"/>
        </w:trPr>
        <w:tc>
          <w:tcPr>
            <w:tcW w:w="3027" w:type="dxa"/>
            <w:gridSpan w:val="3"/>
            <w:tcBorders>
              <w:top w:val="single" w:sz="8" w:space="0" w:color="4F81BD"/>
              <w:bottom w:val="single" w:sz="8" w:space="0" w:color="4F81BD"/>
              <w:right w:val="nil"/>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sz w:val="20"/>
                <w:szCs w:val="20"/>
              </w:rPr>
            </w:pPr>
            <w:r w:rsidRPr="00FF2FF7">
              <w:rPr>
                <w:rFonts w:ascii="Cambria" w:eastAsia="Calibri" w:hAnsi="Cambria" w:cs="Arial"/>
                <w:sz w:val="20"/>
                <w:szCs w:val="20"/>
              </w:rPr>
              <w:t>Paraffinöl</w:t>
            </w:r>
          </w:p>
        </w:tc>
        <w:tc>
          <w:tcPr>
            <w:tcW w:w="3177" w:type="dxa"/>
            <w:gridSpan w:val="3"/>
            <w:tcBorders>
              <w:top w:val="single" w:sz="8" w:space="0" w:color="4F81BD"/>
              <w:left w:val="nil"/>
              <w:bottom w:val="single" w:sz="8" w:space="0" w:color="4F81BD"/>
              <w:right w:val="nil"/>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bCs/>
                <w:sz w:val="20"/>
                <w:szCs w:val="20"/>
              </w:rPr>
            </w:pPr>
            <w:r w:rsidRPr="00FF2FF7">
              <w:rPr>
                <w:rFonts w:ascii="Cambria" w:eastAsia="Calibri" w:hAnsi="Cambria" w:cs="Arial"/>
                <w:bCs/>
                <w:sz w:val="20"/>
                <w:szCs w:val="20"/>
              </w:rPr>
              <w:t>H: 319</w:t>
            </w:r>
          </w:p>
        </w:tc>
        <w:tc>
          <w:tcPr>
            <w:tcW w:w="3118" w:type="dxa"/>
            <w:gridSpan w:val="3"/>
            <w:tcBorders>
              <w:top w:val="single" w:sz="8" w:space="0" w:color="4F81BD"/>
              <w:left w:val="nil"/>
              <w:bottom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bCs/>
                <w:sz w:val="20"/>
                <w:szCs w:val="20"/>
              </w:rPr>
            </w:pPr>
            <w:r w:rsidRPr="00FF2FF7">
              <w:rPr>
                <w:rFonts w:ascii="Cambria" w:eastAsia="Calibri" w:hAnsi="Cambria" w:cs="Arial"/>
                <w:bCs/>
                <w:sz w:val="20"/>
                <w:szCs w:val="20"/>
              </w:rPr>
              <w:t>P: 280, 264, 205+352+338, 337+313</w:t>
            </w:r>
          </w:p>
        </w:tc>
      </w:tr>
      <w:tr w:rsidR="00FF2FF7" w:rsidRPr="00FF2FF7" w:rsidTr="00B21DDD">
        <w:trPr>
          <w:trHeight w:val="434"/>
        </w:trPr>
        <w:tc>
          <w:tcPr>
            <w:tcW w:w="3027" w:type="dxa"/>
            <w:gridSpan w:val="3"/>
            <w:tcBorders>
              <w:top w:val="single" w:sz="8" w:space="0" w:color="4F81BD"/>
              <w:bottom w:val="single" w:sz="8" w:space="0" w:color="4F81BD"/>
              <w:right w:val="nil"/>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sz w:val="20"/>
                <w:szCs w:val="20"/>
              </w:rPr>
            </w:pPr>
            <w:r w:rsidRPr="00FF2FF7">
              <w:rPr>
                <w:rFonts w:ascii="Cambria" w:eastAsia="Calibri" w:hAnsi="Cambria" w:cs="Arial"/>
                <w:sz w:val="20"/>
                <w:szCs w:val="20"/>
              </w:rPr>
              <w:t>Petroleumbenzin</w:t>
            </w:r>
          </w:p>
        </w:tc>
        <w:tc>
          <w:tcPr>
            <w:tcW w:w="3177" w:type="dxa"/>
            <w:gridSpan w:val="3"/>
            <w:tcBorders>
              <w:top w:val="single" w:sz="8" w:space="0" w:color="4F81BD"/>
              <w:left w:val="nil"/>
              <w:bottom w:val="single" w:sz="8" w:space="0" w:color="4F81BD"/>
              <w:right w:val="nil"/>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bCs/>
                <w:sz w:val="20"/>
                <w:szCs w:val="20"/>
              </w:rPr>
            </w:pPr>
            <w:r w:rsidRPr="00FF2FF7">
              <w:rPr>
                <w:rFonts w:ascii="Cambria" w:eastAsia="Calibri" w:hAnsi="Cambria" w:cs="Arial"/>
                <w:bCs/>
                <w:sz w:val="20"/>
                <w:szCs w:val="20"/>
              </w:rPr>
              <w:t>H: 226, 304</w:t>
            </w:r>
          </w:p>
        </w:tc>
        <w:tc>
          <w:tcPr>
            <w:tcW w:w="3118" w:type="dxa"/>
            <w:gridSpan w:val="3"/>
            <w:tcBorders>
              <w:top w:val="single" w:sz="8" w:space="0" w:color="4F81BD"/>
              <w:left w:val="nil"/>
              <w:bottom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bCs/>
                <w:sz w:val="20"/>
                <w:szCs w:val="20"/>
              </w:rPr>
            </w:pPr>
            <w:r w:rsidRPr="00FF2FF7">
              <w:rPr>
                <w:rFonts w:ascii="Cambria" w:eastAsia="Calibri" w:hAnsi="Cambria" w:cs="Arial"/>
                <w:bCs/>
                <w:sz w:val="20"/>
                <w:szCs w:val="20"/>
              </w:rPr>
              <w:t>P: 210, 201+340, 331</w:t>
            </w:r>
          </w:p>
        </w:tc>
      </w:tr>
      <w:tr w:rsidR="00FF2FF7" w:rsidRPr="00FF2FF7" w:rsidTr="00B21DDD">
        <w:tc>
          <w:tcPr>
            <w:tcW w:w="1009" w:type="dxa"/>
            <w:tcBorders>
              <w:top w:val="single" w:sz="8" w:space="0" w:color="4F81BD"/>
              <w:left w:val="single" w:sz="8" w:space="0" w:color="4F81BD"/>
              <w:bottom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b/>
                <w:bCs/>
                <w:color w:val="1D1B11"/>
              </w:rPr>
            </w:pPr>
            <w:r w:rsidRPr="00FF2FF7">
              <w:rPr>
                <w:rFonts w:ascii="Cambria" w:eastAsia="Calibri" w:hAnsi="Cambria" w:cs="Arial"/>
                <w:b/>
                <w:bCs/>
                <w:noProof/>
                <w:color w:val="1D1B11"/>
                <w:lang w:eastAsia="de-DE"/>
              </w:rPr>
              <w:drawing>
                <wp:inline distT="0" distB="0" distL="0" distR="0" wp14:anchorId="283C1E6B" wp14:editId="2567A4F9">
                  <wp:extent cx="540000" cy="540000"/>
                  <wp:effectExtent l="0" t="0" r="0" b="0"/>
                  <wp:docPr id="47" name="Grafik 47"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4" cstate="screen">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color w:val="1D1B11"/>
              </w:rPr>
            </w:pPr>
            <w:r w:rsidRPr="00FF2FF7">
              <w:rPr>
                <w:rFonts w:ascii="Cambria" w:eastAsia="Calibri" w:hAnsi="Cambria" w:cs="Arial"/>
                <w:noProof/>
                <w:color w:val="1D1B11"/>
                <w:lang w:eastAsia="de-DE"/>
              </w:rPr>
              <w:drawing>
                <wp:inline distT="0" distB="0" distL="0" distR="0" wp14:anchorId="14309D7B" wp14:editId="281633ED">
                  <wp:extent cx="540000" cy="540000"/>
                  <wp:effectExtent l="0" t="0" r="0" b="0"/>
                  <wp:docPr id="48" name="Grafik 48"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color w:val="1D1B11"/>
              </w:rPr>
            </w:pPr>
            <w:r w:rsidRPr="00FF2FF7">
              <w:rPr>
                <w:rFonts w:ascii="Cambria" w:eastAsia="Calibri" w:hAnsi="Cambria" w:cs="Arial"/>
                <w:noProof/>
                <w:color w:val="1D1B11"/>
                <w:lang w:eastAsia="de-DE"/>
              </w:rPr>
              <w:drawing>
                <wp:inline distT="0" distB="0" distL="0" distR="0" wp14:anchorId="76D2E66F" wp14:editId="13DF1A47">
                  <wp:extent cx="540000" cy="540000"/>
                  <wp:effectExtent l="0" t="0" r="0" b="0"/>
                  <wp:docPr id="49" name="Grafik 49"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7" cstate="screen">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color w:val="1D1B11"/>
              </w:rPr>
            </w:pPr>
            <w:r w:rsidRPr="00FF2FF7">
              <w:rPr>
                <w:rFonts w:ascii="Cambria" w:eastAsia="Calibri" w:hAnsi="Cambria" w:cs="Arial"/>
                <w:noProof/>
                <w:color w:val="1D1B11"/>
                <w:lang w:eastAsia="de-DE"/>
              </w:rPr>
              <w:drawing>
                <wp:inline distT="0" distB="0" distL="0" distR="0" wp14:anchorId="70FFC346" wp14:editId="1EF33816">
                  <wp:extent cx="540000" cy="540000"/>
                  <wp:effectExtent l="0" t="0" r="0" b="0"/>
                  <wp:docPr id="50" name="Grafik 50"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color w:val="1D1B11"/>
              </w:rPr>
            </w:pPr>
            <w:r w:rsidRPr="00FF2FF7">
              <w:rPr>
                <w:rFonts w:ascii="Cambria" w:eastAsia="Calibri" w:hAnsi="Cambria" w:cs="Arial"/>
                <w:noProof/>
                <w:color w:val="1D1B11"/>
                <w:lang w:eastAsia="de-DE"/>
              </w:rPr>
              <w:drawing>
                <wp:inline distT="0" distB="0" distL="0" distR="0" wp14:anchorId="73BB6DF2" wp14:editId="7875C177">
                  <wp:extent cx="540000" cy="540000"/>
                  <wp:effectExtent l="0" t="0" r="0" b="0"/>
                  <wp:docPr id="51" name="Grafik 51"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0" cstate="screen">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color w:val="1D1B11"/>
              </w:rPr>
            </w:pPr>
            <w:r w:rsidRPr="00FF2FF7">
              <w:rPr>
                <w:rFonts w:ascii="Cambria" w:eastAsia="Calibri" w:hAnsi="Cambria" w:cs="Arial"/>
                <w:noProof/>
                <w:color w:val="1D1B11"/>
                <w:lang w:eastAsia="de-DE"/>
              </w:rPr>
              <w:drawing>
                <wp:inline distT="0" distB="0" distL="0" distR="0" wp14:anchorId="588BE971" wp14:editId="0A876D98">
                  <wp:extent cx="540000" cy="540000"/>
                  <wp:effectExtent l="0" t="0" r="0" b="0"/>
                  <wp:docPr id="52" name="Grafik 52"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color w:val="1D1B11"/>
              </w:rPr>
            </w:pPr>
            <w:r w:rsidRPr="00FF2FF7">
              <w:rPr>
                <w:rFonts w:ascii="Cambria" w:eastAsia="Calibri" w:hAnsi="Cambria" w:cs="Arial"/>
                <w:noProof/>
                <w:color w:val="1D1B11"/>
                <w:lang w:eastAsia="de-DE"/>
              </w:rPr>
              <w:drawing>
                <wp:inline distT="0" distB="0" distL="0" distR="0" wp14:anchorId="08841605" wp14:editId="4E4D8154">
                  <wp:extent cx="540000" cy="540000"/>
                  <wp:effectExtent l="0" t="0" r="0" b="0"/>
                  <wp:docPr id="53" name="Grafik 5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color w:val="1D1B11"/>
              </w:rPr>
            </w:pPr>
            <w:r w:rsidRPr="00FF2FF7">
              <w:rPr>
                <w:rFonts w:ascii="Cambria" w:eastAsia="Calibri" w:hAnsi="Cambria" w:cs="Arial"/>
                <w:noProof/>
                <w:color w:val="1D1B11"/>
                <w:lang w:eastAsia="de-DE"/>
              </w:rPr>
              <w:drawing>
                <wp:inline distT="0" distB="0" distL="0" distR="0" wp14:anchorId="0E67403F" wp14:editId="2A18645D">
                  <wp:extent cx="540000" cy="540000"/>
                  <wp:effectExtent l="0" t="0" r="0" b="0"/>
                  <wp:docPr id="54" name="Grafik 54"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F2FF7" w:rsidRPr="00FF2FF7" w:rsidRDefault="00FF2FF7" w:rsidP="00FF2FF7">
            <w:pPr>
              <w:spacing w:after="0" w:line="360" w:lineRule="auto"/>
              <w:contextualSpacing/>
              <w:jc w:val="both"/>
              <w:rPr>
                <w:rFonts w:ascii="Cambria" w:eastAsia="Calibri" w:hAnsi="Cambria" w:cs="Arial"/>
                <w:color w:val="1D1B11"/>
              </w:rPr>
            </w:pPr>
            <w:r w:rsidRPr="00FF2FF7">
              <w:rPr>
                <w:rFonts w:ascii="Cambria" w:eastAsia="Calibri" w:hAnsi="Cambria" w:cs="Arial"/>
                <w:noProof/>
                <w:color w:val="1D1B11"/>
                <w:lang w:eastAsia="de-DE"/>
              </w:rPr>
              <w:drawing>
                <wp:inline distT="0" distB="0" distL="0" distR="0" wp14:anchorId="04CF1576" wp14:editId="177702E5">
                  <wp:extent cx="540000" cy="540000"/>
                  <wp:effectExtent l="0" t="0" r="0" b="0"/>
                  <wp:docPr id="55" name="Grafik 55"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FF2FF7" w:rsidRPr="00FF2FF7" w:rsidRDefault="00FF2FF7" w:rsidP="00FF2FF7">
      <w:pPr>
        <w:tabs>
          <w:tab w:val="left" w:pos="1701"/>
          <w:tab w:val="left" w:pos="1985"/>
        </w:tabs>
        <w:spacing w:after="0" w:line="360" w:lineRule="auto"/>
        <w:ind w:left="1980" w:hanging="1980"/>
        <w:contextualSpacing/>
        <w:jc w:val="both"/>
        <w:rPr>
          <w:rFonts w:ascii="Cambria" w:eastAsia="Calibri" w:hAnsi="Cambria" w:cs="Arial"/>
          <w:color w:val="1D1B11"/>
        </w:rPr>
      </w:pPr>
    </w:p>
    <w:p w:rsidR="00FF2FF7" w:rsidRPr="00FF2FF7" w:rsidRDefault="00FF2FF7" w:rsidP="00FF2FF7">
      <w:pPr>
        <w:spacing w:after="0" w:line="360" w:lineRule="auto"/>
        <w:ind w:left="1701" w:hanging="1701"/>
        <w:contextualSpacing/>
        <w:jc w:val="both"/>
        <w:rPr>
          <w:rFonts w:ascii="Cambria" w:eastAsia="Calibri" w:hAnsi="Cambria" w:cs="Arial"/>
          <w:b/>
          <w:color w:val="1D1B11"/>
        </w:rPr>
      </w:pPr>
      <w:r w:rsidRPr="00FF2FF7">
        <w:rPr>
          <w:rFonts w:ascii="Cambria" w:eastAsia="Calibri" w:hAnsi="Cambria" w:cs="Arial"/>
          <w:b/>
          <w:color w:val="1D1B11"/>
        </w:rPr>
        <w:t>Materialien:</w:t>
      </w:r>
    </w:p>
    <w:p w:rsidR="00FF2FF7" w:rsidRPr="00FF2FF7" w:rsidRDefault="00FF2FF7" w:rsidP="00FF2FF7">
      <w:pPr>
        <w:spacing w:after="0" w:line="360" w:lineRule="auto"/>
        <w:ind w:left="1701" w:hanging="1701"/>
        <w:contextualSpacing/>
        <w:jc w:val="both"/>
        <w:rPr>
          <w:rFonts w:ascii="Cambria" w:eastAsia="Calibri" w:hAnsi="Cambria" w:cs="Arial"/>
          <w:color w:val="1D1B11"/>
        </w:rPr>
      </w:pPr>
      <w:r w:rsidRPr="00FF2FF7">
        <w:rPr>
          <w:rFonts w:ascii="Cambria" w:eastAsia="Calibri" w:hAnsi="Cambria" w:cs="Arial"/>
          <w:color w:val="1D1B11"/>
        </w:rPr>
        <w:t>3x Tiegel, feuerfeste Unterlage, Glimmspan, Feuerzeug, Gasbrenner, Tondreieck, Dreifuß</w:t>
      </w:r>
    </w:p>
    <w:p w:rsidR="00FF2FF7" w:rsidRPr="00FF2FF7" w:rsidRDefault="00FF2FF7" w:rsidP="00FF2FF7">
      <w:pPr>
        <w:spacing w:after="0" w:line="360" w:lineRule="auto"/>
        <w:contextualSpacing/>
        <w:jc w:val="both"/>
        <w:rPr>
          <w:rFonts w:ascii="Cambria" w:eastAsia="Calibri" w:hAnsi="Cambria" w:cs="Arial"/>
          <w:color w:val="1D1B11"/>
        </w:rPr>
      </w:pPr>
    </w:p>
    <w:p w:rsidR="00FF2FF7" w:rsidRPr="00FF2FF7" w:rsidRDefault="00FF2FF7" w:rsidP="00FF2FF7">
      <w:pPr>
        <w:spacing w:after="0" w:line="360" w:lineRule="auto"/>
        <w:ind w:left="1701" w:hanging="1701"/>
        <w:contextualSpacing/>
        <w:jc w:val="both"/>
        <w:rPr>
          <w:rFonts w:ascii="Cambria" w:eastAsia="Calibri" w:hAnsi="Cambria" w:cs="Arial"/>
          <w:b/>
          <w:color w:val="1D1B11"/>
        </w:rPr>
      </w:pPr>
      <w:r w:rsidRPr="00FF2FF7">
        <w:rPr>
          <w:rFonts w:ascii="Cambria" w:eastAsia="Calibri" w:hAnsi="Cambria" w:cs="Arial"/>
          <w:b/>
          <w:color w:val="1D1B11"/>
        </w:rPr>
        <w:t>Chemikalien:</w:t>
      </w:r>
    </w:p>
    <w:p w:rsidR="00FF2FF7" w:rsidRPr="00FF2FF7" w:rsidRDefault="00FF2FF7" w:rsidP="00FF2FF7">
      <w:pPr>
        <w:spacing w:after="0" w:line="360" w:lineRule="auto"/>
        <w:contextualSpacing/>
        <w:jc w:val="both"/>
        <w:rPr>
          <w:rFonts w:ascii="Cambria" w:eastAsia="Calibri" w:hAnsi="Cambria" w:cs="Arial"/>
          <w:color w:val="1D1B11"/>
        </w:rPr>
      </w:pPr>
      <w:r w:rsidRPr="00FF2FF7">
        <w:rPr>
          <w:rFonts w:ascii="Cambria" w:eastAsia="Calibri" w:hAnsi="Cambria" w:cs="Arial"/>
          <w:color w:val="1D1B11"/>
        </w:rPr>
        <w:t>n-Heptan, Paraffinöl, Petroleumbenzin</w:t>
      </w:r>
    </w:p>
    <w:p w:rsidR="00FF2FF7" w:rsidRPr="00FF2FF7" w:rsidRDefault="00FF2FF7" w:rsidP="00FF2FF7">
      <w:pPr>
        <w:spacing w:after="0" w:line="360" w:lineRule="auto"/>
        <w:ind w:left="1701" w:hanging="1701"/>
        <w:contextualSpacing/>
        <w:jc w:val="both"/>
        <w:rPr>
          <w:rFonts w:ascii="Cambria" w:eastAsia="Calibri" w:hAnsi="Cambria" w:cs="Arial"/>
          <w:color w:val="1D1B11"/>
        </w:rPr>
      </w:pPr>
    </w:p>
    <w:p w:rsidR="00FF2FF7" w:rsidRPr="00FF2FF7" w:rsidRDefault="00FF2FF7" w:rsidP="00FF2FF7">
      <w:pPr>
        <w:spacing w:after="0" w:line="360" w:lineRule="auto"/>
        <w:ind w:left="1701" w:hanging="1701"/>
        <w:contextualSpacing/>
        <w:jc w:val="both"/>
        <w:rPr>
          <w:rFonts w:ascii="Cambria" w:eastAsia="Calibri" w:hAnsi="Cambria" w:cs="Arial"/>
          <w:b/>
          <w:color w:val="1D1B11"/>
        </w:rPr>
      </w:pPr>
      <w:r w:rsidRPr="00FF2FF7">
        <w:rPr>
          <w:rFonts w:ascii="Cambria" w:eastAsia="Calibri" w:hAnsi="Cambria" w:cs="Arial"/>
          <w:b/>
          <w:color w:val="1D1B11"/>
        </w:rPr>
        <w:t>Durchführung:</w:t>
      </w:r>
    </w:p>
    <w:p w:rsidR="00FF2FF7" w:rsidRPr="00FF2FF7" w:rsidRDefault="00FF2FF7" w:rsidP="00FF2FF7">
      <w:pPr>
        <w:spacing w:after="0" w:line="360" w:lineRule="auto"/>
        <w:contextualSpacing/>
        <w:jc w:val="both"/>
        <w:rPr>
          <w:rFonts w:ascii="Cambria" w:eastAsia="Calibri" w:hAnsi="Cambria" w:cs="Arial"/>
          <w:color w:val="1D1B11"/>
        </w:rPr>
      </w:pPr>
      <w:r w:rsidRPr="00FF2FF7">
        <w:rPr>
          <w:rFonts w:ascii="Cambria" w:eastAsia="Calibri" w:hAnsi="Cambria" w:cs="Arial"/>
          <w:color w:val="1D1B11"/>
        </w:rPr>
        <w:t>Es werden von jedem Stoff einige Tropfen in drei Tiegel, die auf der feuerfesten Unterlage stehen, gegeben und es wird nacheinander versucht, sie mit einem brennenden Glimmspan anzuzünden. Das Paraffinöl muss zusätzlich mit dem Gasbrenner erhitzt werden.</w:t>
      </w:r>
    </w:p>
    <w:p w:rsidR="00FF2FF7" w:rsidRPr="00FF2FF7" w:rsidRDefault="00FF2FF7" w:rsidP="00FF2FF7">
      <w:pPr>
        <w:spacing w:after="0" w:line="360" w:lineRule="auto"/>
        <w:contextualSpacing/>
        <w:jc w:val="both"/>
        <w:rPr>
          <w:rFonts w:ascii="Cambria" w:eastAsia="Calibri" w:hAnsi="Cambria" w:cs="Arial"/>
          <w:color w:val="1D1B11"/>
        </w:rPr>
      </w:pPr>
    </w:p>
    <w:p w:rsidR="00FF2FF7" w:rsidRPr="00FF2FF7" w:rsidRDefault="00FF2FF7" w:rsidP="00FF2FF7">
      <w:pPr>
        <w:spacing w:after="0" w:line="360" w:lineRule="auto"/>
        <w:ind w:left="1701" w:hanging="1701"/>
        <w:contextualSpacing/>
        <w:jc w:val="both"/>
        <w:rPr>
          <w:rFonts w:ascii="Cambria" w:eastAsia="Calibri" w:hAnsi="Cambria" w:cs="Arial"/>
          <w:b/>
          <w:color w:val="1D1B11"/>
        </w:rPr>
      </w:pPr>
      <w:r w:rsidRPr="00FF2FF7">
        <w:rPr>
          <w:rFonts w:ascii="Cambria" w:eastAsia="Calibri" w:hAnsi="Cambria" w:cs="Arial"/>
          <w:b/>
          <w:color w:val="1D1B11"/>
        </w:rPr>
        <w:t>Beobachtung:</w:t>
      </w:r>
    </w:p>
    <w:p w:rsidR="00FF2FF7" w:rsidRPr="00FF2FF7" w:rsidRDefault="00FF2FF7" w:rsidP="00FF2FF7">
      <w:pPr>
        <w:spacing w:after="0" w:line="360" w:lineRule="auto"/>
        <w:jc w:val="both"/>
        <w:rPr>
          <w:rFonts w:ascii="Cambria" w:eastAsia="Calibri" w:hAnsi="Cambria" w:cs="Arial"/>
          <w:color w:val="1D1B11"/>
        </w:rPr>
      </w:pPr>
      <w:r w:rsidRPr="00FF2FF7">
        <w:rPr>
          <w:rFonts w:ascii="Cambria" w:eastAsia="Calibri" w:hAnsi="Cambria" w:cs="Arial"/>
          <w:color w:val="1D1B11"/>
        </w:rPr>
        <w:t>Heptan fängt an zu brennen, sobald der brennende Glimmspan in die Nähe gehalten wird. Petroleumbenzin fängt erst nach einiger Zeit an zu brennen, nachdem der brennende Glimmspan in die Nähe gebracht wurde. Paraffinöl muss erst einige Zeit mit dem Gasbrenner erhitzt werden, bis es durch einen Glimmspan angezündet werden kann. Die Tiegel, in denen Paraffinöl und Petroleumbenzin verbrannt wurden, sind stark verrußt, der Tiegel mit Heptan dagegen fast nicht.</w:t>
      </w:r>
    </w:p>
    <w:p w:rsidR="00FF2FF7" w:rsidRPr="00FF2FF7" w:rsidRDefault="00FF2FF7" w:rsidP="00FF2FF7">
      <w:pPr>
        <w:spacing w:after="0" w:line="360" w:lineRule="auto"/>
        <w:jc w:val="both"/>
        <w:rPr>
          <w:rFonts w:ascii="Cambria" w:eastAsia="Calibri" w:hAnsi="Cambria" w:cs="Arial"/>
          <w:color w:val="1D1B11"/>
        </w:rPr>
      </w:pPr>
    </w:p>
    <w:p w:rsidR="00FF2FF7" w:rsidRPr="00FF2FF7" w:rsidRDefault="00FF2FF7" w:rsidP="00FF2FF7">
      <w:pPr>
        <w:spacing w:after="0" w:line="360" w:lineRule="auto"/>
        <w:ind w:left="1701" w:hanging="1701"/>
        <w:contextualSpacing/>
        <w:jc w:val="both"/>
        <w:rPr>
          <w:rFonts w:ascii="Cambria" w:eastAsia="Calibri" w:hAnsi="Cambria" w:cs="Arial"/>
          <w:b/>
          <w:color w:val="1D1B11"/>
        </w:rPr>
      </w:pPr>
      <w:r w:rsidRPr="00FF2FF7">
        <w:rPr>
          <w:rFonts w:ascii="Cambria" w:eastAsia="Calibri" w:hAnsi="Cambria" w:cs="Arial"/>
          <w:noProof/>
          <w:color w:val="1D1B11"/>
        </w:rPr>
        <w:lastRenderedPageBreak/>
        <mc:AlternateContent>
          <mc:Choice Requires="wps">
            <w:drawing>
              <wp:anchor distT="0" distB="0" distL="114300" distR="114300" simplePos="0" relativeHeight="251661312" behindDoc="0" locked="0" layoutInCell="1" allowOverlap="1" wp14:anchorId="4BB6D96B" wp14:editId="40BFA9A0">
                <wp:simplePos x="0" y="0"/>
                <wp:positionH relativeFrom="column">
                  <wp:posOffset>19050</wp:posOffset>
                </wp:positionH>
                <wp:positionV relativeFrom="paragraph">
                  <wp:posOffset>1519555</wp:posOffset>
                </wp:positionV>
                <wp:extent cx="2543175" cy="635"/>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2543175" cy="635"/>
                        </a:xfrm>
                        <a:prstGeom prst="rect">
                          <a:avLst/>
                        </a:prstGeom>
                        <a:solidFill>
                          <a:prstClr val="white"/>
                        </a:solidFill>
                        <a:ln>
                          <a:noFill/>
                        </a:ln>
                      </wps:spPr>
                      <wps:txbx>
                        <w:txbxContent>
                          <w:p w:rsidR="00FF2FF7" w:rsidRPr="00FF2FF7" w:rsidRDefault="00FF2FF7" w:rsidP="00FF2FF7">
                            <w:pPr>
                              <w:pStyle w:val="Beschriftung"/>
                              <w:rPr>
                                <w:rFonts w:ascii="Cambria" w:hAnsi="Cambria"/>
                                <w:noProof/>
                                <w:color w:val="1D1B11"/>
                              </w:rPr>
                            </w:pPr>
                            <w:r w:rsidRPr="00FF2FF7">
                              <w:rPr>
                                <w:rFonts w:ascii="Cambria" w:hAnsi="Cambria"/>
                              </w:rPr>
                              <w:t xml:space="preserve">Abbildung </w:t>
                            </w:r>
                            <w:r w:rsidRPr="00FF2FF7">
                              <w:rPr>
                                <w:rFonts w:ascii="Cambria" w:hAnsi="Cambria"/>
                              </w:rPr>
                              <w:fldChar w:fldCharType="begin"/>
                            </w:r>
                            <w:r w:rsidRPr="00FF2FF7">
                              <w:rPr>
                                <w:rFonts w:ascii="Cambria" w:hAnsi="Cambria"/>
                              </w:rPr>
                              <w:instrText xml:space="preserve"> SEQ Abbildung \* ARABIC </w:instrText>
                            </w:r>
                            <w:r w:rsidRPr="00FF2FF7">
                              <w:rPr>
                                <w:rFonts w:ascii="Cambria" w:hAnsi="Cambria"/>
                              </w:rPr>
                              <w:fldChar w:fldCharType="separate"/>
                            </w:r>
                            <w:r w:rsidR="006114F4">
                              <w:rPr>
                                <w:rFonts w:ascii="Cambria" w:hAnsi="Cambria"/>
                                <w:noProof/>
                              </w:rPr>
                              <w:t>1</w:t>
                            </w:r>
                            <w:r w:rsidRPr="00FF2FF7">
                              <w:rPr>
                                <w:rFonts w:ascii="Cambria" w:hAnsi="Cambria"/>
                                <w:noProof/>
                              </w:rPr>
                              <w:fldChar w:fldCharType="end"/>
                            </w:r>
                            <w:r w:rsidRPr="00FF2FF7">
                              <w:rPr>
                                <w:rFonts w:ascii="Cambria" w:hAnsi="Cambria"/>
                              </w:rPr>
                              <w:t>: Brand von Heptan (links) und Petroleumbenzin (rechts)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BB6D96B" id="_x0000_t202" coordsize="21600,21600" o:spt="202" path="m,l,21600r21600,l21600,xe">
                <v:stroke joinstyle="miter"/>
                <v:path gradientshapeok="t" o:connecttype="rect"/>
              </v:shapetype>
              <v:shape id="Textfeld 7" o:spid="_x0000_s1026" type="#_x0000_t202" style="position:absolute;left:0;text-align:left;margin-left:1.5pt;margin-top:119.65pt;width:200.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" stroked="f">
                <v:textbox style="mso-fit-shape-to-text:t" inset="0,0,0,0">
                  <w:txbxContent>
                    <w:p w:rsidR="00FF2FF7" w:rsidRPr="00FF2FF7" w:rsidRDefault="00FF2FF7" w:rsidP="00FF2FF7">
                      <w:pPr>
                        <w:pStyle w:val="Beschriftung"/>
                        <w:rPr>
                          <w:rFonts w:ascii="Cambria" w:hAnsi="Cambria"/>
                          <w:noProof/>
                          <w:color w:val="1D1B11"/>
                        </w:rPr>
                      </w:pPr>
                      <w:r w:rsidRPr="00FF2FF7">
                        <w:rPr>
                          <w:rFonts w:ascii="Cambria" w:hAnsi="Cambria"/>
                        </w:rPr>
                        <w:t xml:space="preserve">Abbildung </w:t>
                      </w:r>
                      <w:r w:rsidRPr="00FF2FF7">
                        <w:rPr>
                          <w:rFonts w:ascii="Cambria" w:hAnsi="Cambria"/>
                        </w:rPr>
                        <w:fldChar w:fldCharType="begin"/>
                      </w:r>
                      <w:r w:rsidRPr="00FF2FF7">
                        <w:rPr>
                          <w:rFonts w:ascii="Cambria" w:hAnsi="Cambria"/>
                        </w:rPr>
                        <w:instrText xml:space="preserve"> SEQ Abbildung \* ARABIC </w:instrText>
                      </w:r>
                      <w:r w:rsidRPr="00FF2FF7">
                        <w:rPr>
                          <w:rFonts w:ascii="Cambria" w:hAnsi="Cambria"/>
                        </w:rPr>
                        <w:fldChar w:fldCharType="separate"/>
                      </w:r>
                      <w:r w:rsidR="006114F4">
                        <w:rPr>
                          <w:rFonts w:ascii="Cambria" w:hAnsi="Cambria"/>
                          <w:noProof/>
                        </w:rPr>
                        <w:t>1</w:t>
                      </w:r>
                      <w:r w:rsidRPr="00FF2FF7">
                        <w:rPr>
                          <w:rFonts w:ascii="Cambria" w:hAnsi="Cambria"/>
                          <w:noProof/>
                        </w:rPr>
                        <w:fldChar w:fldCharType="end"/>
                      </w:r>
                      <w:r w:rsidRPr="00FF2FF7">
                        <w:rPr>
                          <w:rFonts w:ascii="Cambria" w:hAnsi="Cambria"/>
                        </w:rPr>
                        <w:t>: Brand von Heptan (links) und Petroleumbenzin (rechts)</w:t>
                      </w:r>
                    </w:p>
                  </w:txbxContent>
                </v:textbox>
                <w10:wrap type="square"/>
              </v:shape>
            </w:pict>
          </mc:Fallback>
        </mc:AlternateContent>
      </w:r>
      <w:r w:rsidRPr="00FF2FF7">
        <w:rPr>
          <w:rFonts w:ascii="Cambria" w:eastAsia="Calibri" w:hAnsi="Cambria" w:cs="Arial"/>
          <w:noProof/>
          <w:color w:val="1D1B11"/>
        </w:rPr>
        <w:drawing>
          <wp:anchor distT="0" distB="0" distL="114300" distR="114300" simplePos="0" relativeHeight="251659264" behindDoc="0" locked="0" layoutInCell="1" allowOverlap="1" wp14:anchorId="13DB2B1B" wp14:editId="5A116554">
            <wp:simplePos x="0" y="0"/>
            <wp:positionH relativeFrom="margin">
              <wp:align>left</wp:align>
            </wp:positionH>
            <wp:positionV relativeFrom="paragraph">
              <wp:posOffset>0</wp:posOffset>
            </wp:positionV>
            <wp:extent cx="2543175" cy="1523365"/>
            <wp:effectExtent l="0" t="0" r="9525" b="635"/>
            <wp:wrapSquare wrapText="bothSides"/>
            <wp:docPr id="4" name="Grafik 4" descr="C:\Users\ACER\AppData\Local\Microsoft\Windows\INetCache\Content.Word\DSC_3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DSC_3366.jpg"/>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2543175" cy="1523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2FF7">
        <w:rPr>
          <w:rFonts w:ascii="Cambria" w:eastAsia="Calibri" w:hAnsi="Cambria" w:cs="Arial"/>
          <w:noProof/>
          <w:color w:val="1D1B11"/>
        </w:rPr>
        <w:drawing>
          <wp:anchor distT="0" distB="0" distL="114300" distR="114300" simplePos="0" relativeHeight="251660288" behindDoc="0" locked="0" layoutInCell="1" allowOverlap="1" wp14:anchorId="68691C08" wp14:editId="23655AEA">
            <wp:simplePos x="0" y="0"/>
            <wp:positionH relativeFrom="column">
              <wp:posOffset>2926080</wp:posOffset>
            </wp:positionH>
            <wp:positionV relativeFrom="paragraph">
              <wp:posOffset>-68580</wp:posOffset>
            </wp:positionV>
            <wp:extent cx="2752725" cy="2890520"/>
            <wp:effectExtent l="7303" t="0" r="0" b="0"/>
            <wp:wrapSquare wrapText="bothSides"/>
            <wp:docPr id="6" name="Grafik 6" descr="C:\Users\ACER\AppData\Local\Microsoft\Windows\INetCache\Content.Word\DSC_3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SC_3371.jpg"/>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rot="5400000">
                      <a:off x="0" y="0"/>
                      <a:ext cx="2752725" cy="2890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2FF7">
        <w:rPr>
          <w:rFonts w:ascii="Cambria" w:eastAsia="Calibri" w:hAnsi="Cambria" w:cs="Arial"/>
          <w:b/>
          <w:color w:val="1D1B11"/>
        </w:rPr>
        <w:t>Deutung:</w:t>
      </w:r>
    </w:p>
    <w:p w:rsidR="00FF2FF7" w:rsidRPr="00FF2FF7" w:rsidRDefault="00FF2FF7" w:rsidP="00FF2FF7">
      <w:pPr>
        <w:tabs>
          <w:tab w:val="left" w:pos="1701"/>
        </w:tabs>
        <w:spacing w:after="0" w:line="360" w:lineRule="auto"/>
        <w:contextualSpacing/>
        <w:jc w:val="both"/>
        <w:rPr>
          <w:rFonts w:ascii="Cambria" w:eastAsia="MS Mincho" w:hAnsi="Cambria" w:cs="Arial"/>
          <w:color w:val="1D1B11"/>
        </w:rPr>
      </w:pPr>
      <w:r w:rsidRPr="00FF2FF7">
        <w:rPr>
          <w:rFonts w:ascii="Cambria" w:eastAsia="Calibri" w:hAnsi="Cambria" w:cs="Arial"/>
          <w:noProof/>
          <w:color w:val="1D1B11"/>
        </w:rPr>
        <mc:AlternateContent>
          <mc:Choice Requires="wps">
            <w:drawing>
              <wp:anchor distT="0" distB="0" distL="114300" distR="114300" simplePos="0" relativeHeight="251662336" behindDoc="0" locked="0" layoutInCell="1" allowOverlap="1" wp14:anchorId="025D8E17" wp14:editId="5A20BBFB">
                <wp:simplePos x="0" y="0"/>
                <wp:positionH relativeFrom="margin">
                  <wp:align>right</wp:align>
                </wp:positionH>
                <wp:positionV relativeFrom="paragraph">
                  <wp:posOffset>593090</wp:posOffset>
                </wp:positionV>
                <wp:extent cx="2890520" cy="635"/>
                <wp:effectExtent l="0" t="0" r="5080" b="5715"/>
                <wp:wrapSquare wrapText="bothSides"/>
                <wp:docPr id="8" name="Textfeld 8"/>
                <wp:cNvGraphicFramePr/>
                <a:graphic xmlns:a="http://schemas.openxmlformats.org/drawingml/2006/main">
                  <a:graphicData uri="http://schemas.microsoft.com/office/word/2010/wordprocessingShape">
                    <wps:wsp>
                      <wps:cNvSpPr txBox="1"/>
                      <wps:spPr>
                        <a:xfrm>
                          <a:off x="0" y="0"/>
                          <a:ext cx="2890520" cy="635"/>
                        </a:xfrm>
                        <a:prstGeom prst="rect">
                          <a:avLst/>
                        </a:prstGeom>
                        <a:solidFill>
                          <a:prstClr val="white"/>
                        </a:solidFill>
                        <a:ln>
                          <a:noFill/>
                        </a:ln>
                      </wps:spPr>
                      <wps:txbx>
                        <w:txbxContent>
                          <w:p w:rsidR="00FF2FF7" w:rsidRPr="00FF2FF7" w:rsidRDefault="00FF2FF7" w:rsidP="00FF2FF7">
                            <w:pPr>
                              <w:pStyle w:val="Beschriftung"/>
                              <w:rPr>
                                <w:rFonts w:ascii="Cambria" w:hAnsi="Cambria"/>
                                <w:noProof/>
                                <w:color w:val="1D1B11"/>
                              </w:rPr>
                            </w:pPr>
                            <w:r w:rsidRPr="00FF2FF7">
                              <w:rPr>
                                <w:rFonts w:ascii="Cambria" w:hAnsi="Cambria"/>
                              </w:rPr>
                              <w:t xml:space="preserve">Abbildung </w:t>
                            </w:r>
                            <w:r w:rsidRPr="00FF2FF7">
                              <w:rPr>
                                <w:rFonts w:ascii="Cambria" w:hAnsi="Cambria"/>
                              </w:rPr>
                              <w:fldChar w:fldCharType="begin"/>
                            </w:r>
                            <w:r w:rsidRPr="00FF2FF7">
                              <w:rPr>
                                <w:rFonts w:ascii="Cambria" w:hAnsi="Cambria"/>
                              </w:rPr>
                              <w:instrText xml:space="preserve"> SEQ Abbildung \* ARABIC </w:instrText>
                            </w:r>
                            <w:r w:rsidRPr="00FF2FF7">
                              <w:rPr>
                                <w:rFonts w:ascii="Cambria" w:hAnsi="Cambria"/>
                              </w:rPr>
                              <w:fldChar w:fldCharType="separate"/>
                            </w:r>
                            <w:r w:rsidR="006114F4">
                              <w:rPr>
                                <w:rFonts w:ascii="Cambria" w:hAnsi="Cambria"/>
                                <w:noProof/>
                              </w:rPr>
                              <w:t>2</w:t>
                            </w:r>
                            <w:r w:rsidRPr="00FF2FF7">
                              <w:rPr>
                                <w:rFonts w:ascii="Cambria" w:hAnsi="Cambria"/>
                                <w:noProof/>
                              </w:rPr>
                              <w:fldChar w:fldCharType="end"/>
                            </w:r>
                            <w:r w:rsidRPr="00FF2FF7">
                              <w:rPr>
                                <w:rFonts w:ascii="Cambria" w:hAnsi="Cambria"/>
                              </w:rPr>
                              <w:t>: Brand von Paraffinöl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5D8E17" id="Textfeld 8" o:spid="_x0000_s1027" type="#_x0000_t202" style="position:absolute;left:0;text-align:left;margin-left:176.4pt;margin-top:46.7pt;width:227.6pt;height:.0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" stroked="f">
                <v:textbox style="mso-fit-shape-to-text:t" inset="0,0,0,0">
                  <w:txbxContent>
                    <w:p w:rsidR="00FF2FF7" w:rsidRPr="00FF2FF7" w:rsidRDefault="00FF2FF7" w:rsidP="00FF2FF7">
                      <w:pPr>
                        <w:pStyle w:val="Beschriftung"/>
                        <w:rPr>
                          <w:rFonts w:ascii="Cambria" w:hAnsi="Cambria"/>
                          <w:noProof/>
                          <w:color w:val="1D1B11"/>
                        </w:rPr>
                      </w:pPr>
                      <w:r w:rsidRPr="00FF2FF7">
                        <w:rPr>
                          <w:rFonts w:ascii="Cambria" w:hAnsi="Cambria"/>
                        </w:rPr>
                        <w:t xml:space="preserve">Abbildung </w:t>
                      </w:r>
                      <w:r w:rsidRPr="00FF2FF7">
                        <w:rPr>
                          <w:rFonts w:ascii="Cambria" w:hAnsi="Cambria"/>
                        </w:rPr>
                        <w:fldChar w:fldCharType="begin"/>
                      </w:r>
                      <w:r w:rsidRPr="00FF2FF7">
                        <w:rPr>
                          <w:rFonts w:ascii="Cambria" w:hAnsi="Cambria"/>
                        </w:rPr>
                        <w:instrText xml:space="preserve"> SEQ Abbildung \* ARABIC </w:instrText>
                      </w:r>
                      <w:r w:rsidRPr="00FF2FF7">
                        <w:rPr>
                          <w:rFonts w:ascii="Cambria" w:hAnsi="Cambria"/>
                        </w:rPr>
                        <w:fldChar w:fldCharType="separate"/>
                      </w:r>
                      <w:r w:rsidR="006114F4">
                        <w:rPr>
                          <w:rFonts w:ascii="Cambria" w:hAnsi="Cambria"/>
                          <w:noProof/>
                        </w:rPr>
                        <w:t>2</w:t>
                      </w:r>
                      <w:r w:rsidRPr="00FF2FF7">
                        <w:rPr>
                          <w:rFonts w:ascii="Cambria" w:hAnsi="Cambria"/>
                          <w:noProof/>
                        </w:rPr>
                        <w:fldChar w:fldCharType="end"/>
                      </w:r>
                      <w:r w:rsidRPr="00FF2FF7">
                        <w:rPr>
                          <w:rFonts w:ascii="Cambria" w:hAnsi="Cambria"/>
                        </w:rPr>
                        <w:t>: Brand von Paraffinöl</w:t>
                      </w:r>
                    </w:p>
                  </w:txbxContent>
                </v:textbox>
                <w10:wrap type="square" anchorx="margin"/>
              </v:shape>
            </w:pict>
          </mc:Fallback>
        </mc:AlternateContent>
      </w:r>
      <w:r w:rsidRPr="00FF2FF7">
        <w:rPr>
          <w:rFonts w:ascii="Cambria" w:eastAsia="MS Mincho" w:hAnsi="Cambria" w:cs="Arial"/>
          <w:color w:val="1D1B11"/>
        </w:rPr>
        <w:t xml:space="preserve">Es lässt sich eine Abhängigkeit der Brennbarkeit von der Kettenlänge feststellen. Heptan hat mit sieben Kohlenstoffatomen die kürzeste Kette, Petroleumbenzin besteht aus einem Gemisch von Alkanen mit einer Kettenlänge von 8-12 Kohlenstoffatome und Paraffinöl aus Alkanen mit einer Kettelänge von 14-30 Kohlenstoffatome. Mit steigender Kettenlänge bilden sich stärkere van-der-Waals-Kräfte aus, da eine längere Kette eine höhere Kontaktfläche als eine kleine Kette hat. Aus diesem Grund haben Alkane mit einer längeren Kettenlänge eine höhere Siedetemperatur (Heptan 98 °C, Petroleumbenzin 140-180 °C, Paraffinöl ca. 250 °C), sie sind also schwerer in die Gasphase zu überführen, weshalb sie schwerer entzündlich sind. Aus diesem Grund muss das Paraffin mit dem Gasbrenner erhitzt werden, dass es gasförmig und damit brennbar wird. Je länger also die Kohlenstoffkette ist, desto höher ist die Siedetemperatur. </w:t>
      </w:r>
    </w:p>
    <w:p w:rsidR="00FF2FF7" w:rsidRPr="00FF2FF7" w:rsidRDefault="00FF2FF7" w:rsidP="00FF2FF7">
      <w:pPr>
        <w:tabs>
          <w:tab w:val="left" w:pos="1701"/>
        </w:tabs>
        <w:spacing w:after="0" w:line="360" w:lineRule="auto"/>
        <w:contextualSpacing/>
        <w:jc w:val="both"/>
        <w:rPr>
          <w:rFonts w:ascii="Cambria" w:eastAsia="MS Mincho" w:hAnsi="Cambria" w:cs="Arial"/>
          <w:color w:val="1D1B11"/>
        </w:rPr>
      </w:pPr>
      <w:r w:rsidRPr="00FF2FF7">
        <w:rPr>
          <w:rFonts w:ascii="Cambria" w:eastAsia="MS Mincho" w:hAnsi="Cambria" w:cs="Arial"/>
          <w:color w:val="1D1B11"/>
        </w:rPr>
        <w:t>Außerdem verbrennen Alkane mit längeren Ketten unvollständiger, sodass Ruß zurückbleibt, weil der Massenanteil von Kohlenstoff gegenüber dem von Wasserstoff steigt und mehr Sauerstoff benötigt würde, um alle Kohlenstoffatome zu oxidieren. Folgende Reaktionsgleichung ist Beispiel für die Verbrennung von Heptan:</w:t>
      </w:r>
    </w:p>
    <w:p w:rsidR="00FF2FF7" w:rsidRPr="00FF2FF7" w:rsidRDefault="00FF2FF7" w:rsidP="00FF2FF7">
      <w:pPr>
        <w:tabs>
          <w:tab w:val="left" w:pos="1701"/>
        </w:tabs>
        <w:spacing w:after="0" w:line="360" w:lineRule="auto"/>
        <w:contextualSpacing/>
        <w:jc w:val="both"/>
        <w:rPr>
          <w:rFonts w:ascii="Cambria" w:eastAsia="MS Mincho" w:hAnsi="Cambria" w:cs="Arial"/>
          <w:color w:val="1D1B11"/>
        </w:rPr>
      </w:pPr>
      <m:oMathPara>
        <m:oMath>
          <m:sSub>
            <m:sSubPr>
              <m:ctrlPr>
                <w:rPr>
                  <w:rFonts w:ascii="Cambria Math" w:eastAsia="MS Mincho" w:hAnsi="Cambria Math" w:cs="Arial"/>
                  <w:color w:val="1D1B11"/>
                </w:rPr>
              </m:ctrlPr>
            </m:sSubPr>
            <m:e>
              <m:r>
                <m:rPr>
                  <m:sty m:val="p"/>
                </m:rPr>
                <w:rPr>
                  <w:rFonts w:ascii="Cambria Math" w:eastAsia="MS Mincho" w:hAnsi="Cambria Math" w:cs="Arial"/>
                  <w:color w:val="1D1B11"/>
                </w:rPr>
                <m:t>2 C</m:t>
              </m:r>
            </m:e>
            <m:sub>
              <m:r>
                <m:rPr>
                  <m:sty m:val="p"/>
                </m:rPr>
                <w:rPr>
                  <w:rFonts w:ascii="Cambria Math" w:eastAsia="MS Mincho" w:hAnsi="Cambria Math" w:cs="Arial"/>
                  <w:color w:val="1D1B11"/>
                </w:rPr>
                <m:t>7</m:t>
              </m:r>
            </m:sub>
          </m:sSub>
          <m:sSub>
            <m:sSubPr>
              <m:ctrlPr>
                <w:rPr>
                  <w:rFonts w:ascii="Cambria Math" w:eastAsia="MS Mincho" w:hAnsi="Cambria Math" w:cs="Arial"/>
                  <w:color w:val="1D1B11"/>
                </w:rPr>
              </m:ctrlPr>
            </m:sSubPr>
            <m:e>
              <m:r>
                <m:rPr>
                  <m:sty m:val="p"/>
                </m:rPr>
                <w:rPr>
                  <w:rFonts w:ascii="Cambria Math" w:eastAsia="MS Mincho" w:hAnsi="Cambria Math" w:cs="Arial"/>
                  <w:color w:val="1D1B11"/>
                </w:rPr>
                <m:t>H</m:t>
              </m:r>
            </m:e>
            <m:sub>
              <m:r>
                <m:rPr>
                  <m:sty m:val="p"/>
                </m:rPr>
                <w:rPr>
                  <w:rFonts w:ascii="Cambria Math" w:eastAsia="MS Mincho" w:hAnsi="Cambria Math" w:cs="Arial"/>
                  <w:color w:val="1D1B11"/>
                </w:rPr>
                <m:t>16 (l)</m:t>
              </m:r>
            </m:sub>
          </m:sSub>
          <m:r>
            <m:rPr>
              <m:sty m:val="p"/>
            </m:rPr>
            <w:rPr>
              <w:rFonts w:ascii="Cambria Math" w:eastAsia="MS Mincho" w:hAnsi="Cambria Math" w:cs="Arial"/>
              <w:color w:val="1D1B11"/>
            </w:rPr>
            <m:t xml:space="preserve">+22 </m:t>
          </m:r>
          <m:sSub>
            <m:sSubPr>
              <m:ctrlPr>
                <w:rPr>
                  <w:rFonts w:ascii="Cambria Math" w:eastAsia="MS Mincho" w:hAnsi="Cambria Math" w:cs="Arial"/>
                  <w:color w:val="1D1B11"/>
                </w:rPr>
              </m:ctrlPr>
            </m:sSubPr>
            <m:e>
              <m:r>
                <m:rPr>
                  <m:sty m:val="p"/>
                </m:rPr>
                <w:rPr>
                  <w:rFonts w:ascii="Cambria Math" w:eastAsia="MS Mincho" w:hAnsi="Cambria Math" w:cs="Arial"/>
                  <w:color w:val="1D1B11"/>
                </w:rPr>
                <m:t>O</m:t>
              </m:r>
            </m:e>
            <m:sub>
              <m:r>
                <m:rPr>
                  <m:sty m:val="p"/>
                </m:rPr>
                <w:rPr>
                  <w:rFonts w:ascii="Cambria Math" w:eastAsia="MS Mincho" w:hAnsi="Cambria Math" w:cs="Arial"/>
                  <w:color w:val="1D1B11"/>
                </w:rPr>
                <m:t>2</m:t>
              </m:r>
            </m:sub>
          </m:sSub>
          <m:r>
            <m:rPr>
              <m:sty m:val="p"/>
            </m:rPr>
            <w:rPr>
              <w:rFonts w:ascii="Cambria Math" w:eastAsia="MS Mincho" w:hAnsi="Cambria Math" w:cs="Arial"/>
              <w:color w:val="1D1B11"/>
            </w:rPr>
            <m:t xml:space="preserve">→14 </m:t>
          </m:r>
          <m:sSub>
            <m:sSubPr>
              <m:ctrlPr>
                <w:rPr>
                  <w:rFonts w:ascii="Cambria Math" w:eastAsia="MS Mincho" w:hAnsi="Cambria Math" w:cs="Arial"/>
                  <w:color w:val="1D1B11"/>
                </w:rPr>
              </m:ctrlPr>
            </m:sSubPr>
            <m:e>
              <m:r>
                <m:rPr>
                  <m:sty m:val="p"/>
                </m:rPr>
                <w:rPr>
                  <w:rFonts w:ascii="Cambria Math" w:eastAsia="MS Mincho" w:hAnsi="Cambria Math" w:cs="Arial"/>
                  <w:color w:val="1D1B11"/>
                </w:rPr>
                <m:t>CO</m:t>
              </m:r>
            </m:e>
            <m:sub>
              <m:r>
                <m:rPr>
                  <m:sty m:val="p"/>
                </m:rPr>
                <w:rPr>
                  <w:rFonts w:ascii="Cambria Math" w:eastAsia="MS Mincho" w:hAnsi="Cambria Math" w:cs="Arial"/>
                  <w:color w:val="1D1B11"/>
                </w:rPr>
                <m:t>2 (g)</m:t>
              </m:r>
            </m:sub>
          </m:sSub>
          <m:r>
            <m:rPr>
              <m:sty m:val="p"/>
            </m:rPr>
            <w:rPr>
              <w:rFonts w:ascii="Cambria Math" w:eastAsia="MS Mincho" w:hAnsi="Cambria Math" w:cs="Arial"/>
              <w:color w:val="1D1B11"/>
            </w:rPr>
            <m:t>+</m:t>
          </m:r>
          <m:sSub>
            <m:sSubPr>
              <m:ctrlPr>
                <w:rPr>
                  <w:rFonts w:ascii="Cambria Math" w:eastAsia="MS Mincho" w:hAnsi="Cambria Math" w:cs="Arial"/>
                  <w:color w:val="1D1B11"/>
                </w:rPr>
              </m:ctrlPr>
            </m:sSubPr>
            <m:e>
              <m:r>
                <m:rPr>
                  <m:sty m:val="p"/>
                </m:rPr>
                <w:rPr>
                  <w:rFonts w:ascii="Cambria Math" w:eastAsia="MS Mincho" w:hAnsi="Cambria Math" w:cs="Arial"/>
                  <w:color w:val="1D1B11"/>
                </w:rPr>
                <m:t>16 H</m:t>
              </m:r>
            </m:e>
            <m:sub>
              <m:r>
                <m:rPr>
                  <m:sty m:val="p"/>
                </m:rPr>
                <w:rPr>
                  <w:rFonts w:ascii="Cambria Math" w:eastAsia="MS Mincho" w:hAnsi="Cambria Math" w:cs="Arial"/>
                  <w:color w:val="1D1B11"/>
                </w:rPr>
                <m:t>2</m:t>
              </m:r>
            </m:sub>
          </m:sSub>
          <m:sSub>
            <m:sSubPr>
              <m:ctrlPr>
                <w:rPr>
                  <w:rFonts w:ascii="Cambria Math" w:eastAsia="MS Mincho" w:hAnsi="Cambria Math" w:cs="Arial"/>
                  <w:color w:val="1D1B11"/>
                </w:rPr>
              </m:ctrlPr>
            </m:sSubPr>
            <m:e>
              <m:r>
                <m:rPr>
                  <m:sty m:val="p"/>
                </m:rPr>
                <w:rPr>
                  <w:rFonts w:ascii="Cambria Math" w:eastAsia="MS Mincho" w:hAnsi="Cambria Math" w:cs="Arial"/>
                  <w:color w:val="1D1B11"/>
                </w:rPr>
                <m:t>O</m:t>
              </m:r>
            </m:e>
            <m:sub>
              <m:r>
                <m:rPr>
                  <m:sty m:val="p"/>
                </m:rPr>
                <w:rPr>
                  <w:rFonts w:ascii="Cambria Math" w:eastAsia="MS Mincho" w:hAnsi="Cambria Math" w:cs="Arial"/>
                  <w:color w:val="1D1B11"/>
                </w:rPr>
                <m:t>(g)</m:t>
              </m:r>
            </m:sub>
          </m:sSub>
        </m:oMath>
      </m:oMathPara>
    </w:p>
    <w:p w:rsidR="00FF2FF7" w:rsidRPr="00FF2FF7" w:rsidRDefault="00FF2FF7" w:rsidP="00FF2FF7">
      <w:pPr>
        <w:tabs>
          <w:tab w:val="left" w:pos="1701"/>
        </w:tabs>
        <w:spacing w:after="0" w:line="360" w:lineRule="auto"/>
        <w:contextualSpacing/>
        <w:jc w:val="both"/>
        <w:rPr>
          <w:rFonts w:ascii="Cambria" w:eastAsia="MS Mincho" w:hAnsi="Cambria" w:cs="Arial"/>
          <w:color w:val="1D1B11"/>
        </w:rPr>
      </w:pPr>
      <w:r w:rsidRPr="00FF2FF7">
        <w:rPr>
          <w:rFonts w:ascii="Cambria" w:eastAsia="MS Mincho" w:hAnsi="Cambria" w:cs="Arial"/>
          <w:color w:val="1D1B11"/>
        </w:rPr>
        <w:t>Die van-der-Waals-Kräfte, die erst in der Oberstufe thematisiert werden, können didaktisch reduziert werden, indem sie als temporäre Ladung, die infolge von Zusammenstößen entsteht, erklärt werden.</w:t>
      </w:r>
    </w:p>
    <w:p w:rsidR="00FF2FF7" w:rsidRPr="00FF2FF7" w:rsidRDefault="00FF2FF7" w:rsidP="00FF2FF7">
      <w:pPr>
        <w:tabs>
          <w:tab w:val="left" w:pos="1701"/>
          <w:tab w:val="left" w:pos="1985"/>
        </w:tabs>
        <w:spacing w:after="0" w:line="360" w:lineRule="auto"/>
        <w:ind w:left="1980" w:hanging="1980"/>
        <w:contextualSpacing/>
        <w:jc w:val="both"/>
        <w:rPr>
          <w:rFonts w:ascii="Cambria" w:eastAsia="MS Mincho" w:hAnsi="Cambria" w:cs="Arial"/>
          <w:color w:val="1D1B11"/>
        </w:rPr>
      </w:pPr>
    </w:p>
    <w:p w:rsidR="00FF2FF7" w:rsidRPr="00FF2FF7" w:rsidRDefault="00FF2FF7" w:rsidP="00FF2FF7">
      <w:pPr>
        <w:spacing w:after="0" w:line="360" w:lineRule="auto"/>
        <w:ind w:left="1701" w:hanging="1701"/>
        <w:contextualSpacing/>
        <w:jc w:val="both"/>
        <w:rPr>
          <w:rFonts w:ascii="Cambria" w:eastAsia="Calibri" w:hAnsi="Cambria" w:cs="Arial"/>
          <w:b/>
          <w:color w:val="1D1B11"/>
        </w:rPr>
      </w:pPr>
      <w:r w:rsidRPr="00FF2FF7">
        <w:rPr>
          <w:rFonts w:ascii="Cambria" w:eastAsia="Calibri" w:hAnsi="Cambria" w:cs="Arial"/>
          <w:b/>
          <w:color w:val="1D1B11"/>
        </w:rPr>
        <w:t>Entsorgung:</w:t>
      </w:r>
    </w:p>
    <w:p w:rsidR="00FF2FF7" w:rsidRPr="00FF2FF7" w:rsidRDefault="00FF2FF7" w:rsidP="00FF2FF7">
      <w:pPr>
        <w:spacing w:after="0" w:line="360" w:lineRule="auto"/>
        <w:contextualSpacing/>
        <w:jc w:val="both"/>
        <w:rPr>
          <w:rFonts w:ascii="Cambria" w:eastAsia="Calibri" w:hAnsi="Cambria" w:cs="Arial"/>
          <w:color w:val="1D1B11"/>
        </w:rPr>
      </w:pPr>
      <w:r w:rsidRPr="00FF2FF7">
        <w:rPr>
          <w:rFonts w:ascii="Cambria" w:eastAsia="Calibri" w:hAnsi="Cambria" w:cs="Arial"/>
          <w:color w:val="1D1B11"/>
        </w:rPr>
        <w:t>Die Reste der organischen Lösungsmittel können im Abfall für organische Lösungsmittel entsorgt werden.</w:t>
      </w:r>
    </w:p>
    <w:p w:rsidR="00FF2FF7" w:rsidRPr="00FF2FF7" w:rsidRDefault="00FF2FF7" w:rsidP="00FF2FF7">
      <w:pPr>
        <w:spacing w:after="0" w:line="360" w:lineRule="auto"/>
        <w:ind w:left="1701" w:hanging="1701"/>
        <w:contextualSpacing/>
        <w:jc w:val="both"/>
        <w:rPr>
          <w:rFonts w:ascii="Cambria" w:eastAsia="Calibri" w:hAnsi="Cambria" w:cs="Arial"/>
          <w:b/>
          <w:color w:val="1D1B11"/>
        </w:rPr>
      </w:pPr>
      <w:bookmarkStart w:id="4" w:name="_GoBack"/>
      <w:bookmarkEnd w:id="4"/>
    </w:p>
    <w:p w:rsidR="00FF2FF7" w:rsidRPr="00FF2FF7" w:rsidRDefault="00FF2FF7" w:rsidP="00FF2FF7">
      <w:pPr>
        <w:spacing w:after="0" w:line="360" w:lineRule="auto"/>
        <w:ind w:left="1701" w:hanging="1701"/>
        <w:contextualSpacing/>
        <w:jc w:val="both"/>
        <w:rPr>
          <w:rFonts w:ascii="Cambria" w:eastAsia="Calibri" w:hAnsi="Cambria" w:cs="Arial"/>
          <w:b/>
          <w:color w:val="1D1B11"/>
        </w:rPr>
      </w:pPr>
      <w:r w:rsidRPr="00FF2FF7">
        <w:rPr>
          <w:rFonts w:ascii="Cambria" w:eastAsia="Calibri" w:hAnsi="Cambria" w:cs="Arial"/>
          <w:b/>
          <w:color w:val="1D1B11"/>
        </w:rPr>
        <w:t>Literatur:</w:t>
      </w:r>
    </w:p>
    <w:p w:rsidR="00FF2FF7" w:rsidRPr="00FF2FF7" w:rsidRDefault="00FF2FF7" w:rsidP="00FF2FF7">
      <w:pPr>
        <w:spacing w:after="0" w:line="360" w:lineRule="auto"/>
        <w:jc w:val="both"/>
        <w:rPr>
          <w:rFonts w:ascii="Cambria" w:eastAsia="Calibri" w:hAnsi="Cambria" w:cs="Arial"/>
          <w:color w:val="1D1B11"/>
        </w:rPr>
      </w:pPr>
      <w:r w:rsidRPr="00FF2FF7">
        <w:rPr>
          <w:rFonts w:ascii="Cambria" w:eastAsia="Calibri" w:hAnsi="Cambria" w:cs="Arial"/>
          <w:color w:val="1D1B11"/>
        </w:rPr>
        <w:t xml:space="preserve">[1] E. Irmer et al., </w:t>
      </w:r>
      <w:proofErr w:type="spellStart"/>
      <w:r w:rsidRPr="00FF2FF7">
        <w:rPr>
          <w:rFonts w:ascii="Cambria" w:eastAsia="Calibri" w:hAnsi="Cambria" w:cs="Arial"/>
          <w:color w:val="1D1B11"/>
        </w:rPr>
        <w:t>elemente</w:t>
      </w:r>
      <w:proofErr w:type="spellEnd"/>
      <w:r w:rsidRPr="00FF2FF7">
        <w:rPr>
          <w:rFonts w:ascii="Cambria" w:eastAsia="Calibri" w:hAnsi="Cambria" w:cs="Arial"/>
          <w:color w:val="1D1B11"/>
        </w:rPr>
        <w:t xml:space="preserve"> </w:t>
      </w:r>
      <w:proofErr w:type="spellStart"/>
      <w:r w:rsidRPr="00FF2FF7">
        <w:rPr>
          <w:rFonts w:ascii="Cambria" w:eastAsia="Calibri" w:hAnsi="Cambria" w:cs="Arial"/>
          <w:color w:val="1D1B11"/>
        </w:rPr>
        <w:t>chemie</w:t>
      </w:r>
      <w:proofErr w:type="spellEnd"/>
      <w:r w:rsidRPr="00FF2FF7">
        <w:rPr>
          <w:rFonts w:ascii="Cambria" w:eastAsia="Calibri" w:hAnsi="Cambria" w:cs="Arial"/>
          <w:color w:val="1D1B11"/>
        </w:rPr>
        <w:t xml:space="preserve"> 7-10, Ernst Klett 2010, S. 251.</w:t>
      </w:r>
    </w:p>
    <w:p w:rsidR="00FF2FF7" w:rsidRPr="00FF2FF7" w:rsidRDefault="00FF2FF7" w:rsidP="00FF2FF7">
      <w:pPr>
        <w:spacing w:after="0" w:line="360" w:lineRule="auto"/>
        <w:contextualSpacing/>
        <w:jc w:val="both"/>
        <w:rPr>
          <w:rFonts w:ascii="Cambria" w:eastAsia="Calibri" w:hAnsi="Cambria" w:cs="Arial"/>
          <w:color w:val="1D1B11"/>
        </w:rPr>
      </w:pPr>
    </w:p>
    <w:p w:rsidR="00FF2FF7" w:rsidRPr="00FF2FF7" w:rsidRDefault="00FF2FF7" w:rsidP="00FF2FF7">
      <w:pPr>
        <w:spacing w:after="0" w:line="360" w:lineRule="auto"/>
        <w:contextualSpacing/>
        <w:jc w:val="both"/>
        <w:rPr>
          <w:rFonts w:ascii="Cambria" w:eastAsia="Calibri" w:hAnsi="Cambria" w:cs="Arial"/>
          <w:b/>
        </w:rPr>
      </w:pPr>
      <w:r w:rsidRPr="00FF2FF7">
        <w:rPr>
          <w:rFonts w:ascii="Cambria" w:eastAsia="Calibri" w:hAnsi="Cambria" w:cs="Arial"/>
          <w:b/>
        </w:rPr>
        <w:lastRenderedPageBreak/>
        <w:t xml:space="preserve">Unterrichtsanschlüsse: </w:t>
      </w:r>
    </w:p>
    <w:p w:rsidR="00FF2FF7" w:rsidRPr="00FF2FF7" w:rsidRDefault="00FF2FF7" w:rsidP="00FF2FF7">
      <w:pPr>
        <w:spacing w:after="0" w:line="360" w:lineRule="auto"/>
        <w:jc w:val="both"/>
        <w:rPr>
          <w:rFonts w:ascii="Cambria" w:eastAsia="Calibri" w:hAnsi="Cambria" w:cs="Arial"/>
          <w:color w:val="1D1B11"/>
        </w:rPr>
      </w:pPr>
      <w:r w:rsidRPr="00FF2FF7">
        <w:rPr>
          <w:rFonts w:ascii="Cambria" w:eastAsia="Calibri" w:hAnsi="Cambria" w:cs="Arial"/>
          <w:color w:val="1D1B11"/>
        </w:rPr>
        <w:t>Dieser Versuch kann auch in der Oberstufe beim Thema van-der-Waals-Kräfte verwendet werden. Außerdem können weitere Alkane oder auch Alkohole untersucht werden. Dieser Versuch kann zur Erarbeitung der Brennbarkeit von Alkanen oder zur Übung, wenn beispielsweise Alkohole untersucht werden, eingesetzt werden.</w:t>
      </w:r>
    </w:p>
    <w:p w:rsidR="009F5140" w:rsidRPr="00FF2FF7" w:rsidRDefault="009F5140">
      <w:pPr>
        <w:rPr>
          <w:rFonts w:ascii="Cambria" w:hAnsi="Cambria"/>
        </w:rPr>
      </w:pPr>
    </w:p>
    <w:sectPr w:rsidR="009F5140" w:rsidRPr="00FF2F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F7"/>
    <w:rsid w:val="006114F4"/>
    <w:rsid w:val="009F5140"/>
    <w:rsid w:val="00FF2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5C5A2-386D-4951-9EB4-614169FE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FF2FF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microsoft.com/office/2007/relationships/hdphoto" Target="media/hdphoto4.wdp"/><Relationship Id="rId18" Type="http://schemas.openxmlformats.org/officeDocument/2006/relationships/image" Target="media/image11.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3.wdp"/><Relationship Id="rId5" Type="http://schemas.microsoft.com/office/2007/relationships/hdphoto" Target="media/hdphoto1.wdp"/><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2</cp:revision>
  <cp:lastPrinted>2017-08-09T10:56:00Z</cp:lastPrinted>
  <dcterms:created xsi:type="dcterms:W3CDTF">2017-08-09T10:55:00Z</dcterms:created>
  <dcterms:modified xsi:type="dcterms:W3CDTF">2017-08-09T10:56:00Z</dcterms:modified>
</cp:coreProperties>
</file>