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759" w:rsidRPr="00415759" w:rsidRDefault="00415759" w:rsidP="00415759">
      <w:pPr>
        <w:widowControl w:val="0"/>
        <w:numPr>
          <w:ilvl w:val="1"/>
          <w:numId w:val="0"/>
        </w:numPr>
        <w:spacing w:before="200" w:after="200" w:line="360" w:lineRule="auto"/>
        <w:ind w:left="576" w:hanging="576"/>
        <w:contextualSpacing/>
        <w:jc w:val="both"/>
        <w:outlineLvl w:val="1"/>
        <w:rPr>
          <w:rFonts w:ascii="Cambria" w:eastAsia="MS Gothic" w:hAnsi="Cambria" w:cs="Times New Roman"/>
          <w:b/>
          <w:bCs/>
          <w:color w:val="1D1B11"/>
          <w:szCs w:val="26"/>
        </w:rPr>
      </w:pPr>
      <w:bookmarkStart w:id="0" w:name="_Toc489377752"/>
      <w:bookmarkStart w:id="1" w:name="_GoBack"/>
      <w:bookmarkEnd w:id="1"/>
      <w:r w:rsidRPr="00415759">
        <w:rPr>
          <w:rFonts w:ascii="Cambria" w:eastAsia="MS Gothic" w:hAnsi="Cambria" w:cs="Times New Roman"/>
          <w:b/>
          <w:bCs/>
          <w:color w:val="1D1B11"/>
          <w:szCs w:val="26"/>
        </w:rPr>
        <w:t>V</w:t>
      </w:r>
      <w:r>
        <w:rPr>
          <w:rFonts w:ascii="Cambria" w:eastAsia="MS Gothic" w:hAnsi="Cambria" w:cs="Times New Roman"/>
          <w:b/>
          <w:bCs/>
          <w:color w:val="1D1B11"/>
          <w:szCs w:val="26"/>
        </w:rPr>
        <w:t>5</w:t>
      </w:r>
      <w:r w:rsidRPr="00415759">
        <w:rPr>
          <w:rFonts w:ascii="Cambria" w:eastAsia="MS Gothic" w:hAnsi="Cambria" w:cs="Times New Roman"/>
          <w:b/>
          <w:bCs/>
          <w:color w:val="1D1B11"/>
          <w:szCs w:val="26"/>
        </w:rPr>
        <w:t xml:space="preserve"> – Abhängigkeit der Leifähigkeit von den Ionen</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15759" w:rsidRPr="00415759" w:rsidTr="00505EAD">
        <w:tc>
          <w:tcPr>
            <w:tcW w:w="9322" w:type="dxa"/>
            <w:gridSpan w:val="9"/>
            <w:shd w:val="clear" w:color="auto" w:fill="4F81BD"/>
            <w:vAlign w:val="center"/>
          </w:tcPr>
          <w:p w:rsidR="00415759" w:rsidRPr="00415759" w:rsidRDefault="00415759" w:rsidP="00415759">
            <w:pPr>
              <w:widowControl w:val="0"/>
              <w:spacing w:after="0" w:line="360" w:lineRule="auto"/>
              <w:contextualSpacing/>
              <w:jc w:val="both"/>
              <w:rPr>
                <w:rFonts w:ascii="Cambria" w:eastAsia="Calibri" w:hAnsi="Cambria" w:cs="Times New Roman"/>
                <w:b/>
                <w:bCs/>
                <w:color w:val="FFFFFF"/>
              </w:rPr>
            </w:pPr>
            <w:r w:rsidRPr="00415759">
              <w:rPr>
                <w:rFonts w:ascii="Cambria" w:eastAsia="Calibri" w:hAnsi="Cambria" w:cs="Times New Roman"/>
                <w:b/>
                <w:bCs/>
                <w:color w:val="FFFFFF"/>
              </w:rPr>
              <w:t>Gefahrenstoffe</w:t>
            </w:r>
          </w:p>
        </w:tc>
      </w:tr>
      <w:tr w:rsidR="00415759" w:rsidRPr="00415759"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b/>
                <w:bCs/>
                <w:color w:val="1D1B11"/>
              </w:rPr>
            </w:pPr>
            <w:r w:rsidRPr="00415759">
              <w:rPr>
                <w:rFonts w:ascii="Cambria" w:eastAsia="Calibri" w:hAnsi="Cambria" w:cs="Times New Roman"/>
                <w:color w:val="1D1B11"/>
                <w:sz w:val="20"/>
              </w:rPr>
              <w:t>Natriumchlorid</w:t>
            </w:r>
          </w:p>
        </w:tc>
        <w:tc>
          <w:tcPr>
            <w:tcW w:w="3177" w:type="dxa"/>
            <w:gridSpan w:val="3"/>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rPr>
            </w:pPr>
            <w:r w:rsidRPr="00415759">
              <w:rPr>
                <w:rFonts w:ascii="Cambria" w:eastAsia="Calibri" w:hAnsi="Cambria" w:cs="Times New Roman"/>
                <w:color w:val="1D1B11"/>
                <w:sz w:val="20"/>
              </w:rPr>
              <w:t xml:space="preserve">H: </w:t>
            </w:r>
            <w:r w:rsidRPr="00415759">
              <w:rPr>
                <w:rFonts w:ascii="Cambria" w:eastAsia="Calibri" w:hAnsi="Cambria" w:cs="Times New Roman"/>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rPr>
            </w:pPr>
            <w:r w:rsidRPr="00415759">
              <w:rPr>
                <w:rFonts w:ascii="Cambria" w:eastAsia="Calibri" w:hAnsi="Cambria" w:cs="Times New Roman"/>
                <w:color w:val="1D1B11"/>
                <w:sz w:val="20"/>
              </w:rPr>
              <w:t xml:space="preserve">P: </w:t>
            </w:r>
            <w:r w:rsidRPr="00415759">
              <w:rPr>
                <w:rFonts w:ascii="Cambria" w:eastAsia="Calibri" w:hAnsi="Cambria" w:cs="Times New Roman"/>
                <w:color w:val="1D1B11"/>
              </w:rPr>
              <w:t>-</w:t>
            </w:r>
          </w:p>
        </w:tc>
      </w:tr>
      <w:tr w:rsidR="00415759" w:rsidRPr="00415759"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sz w:val="20"/>
              </w:rPr>
            </w:pPr>
            <w:r w:rsidRPr="00415759">
              <w:rPr>
                <w:rFonts w:ascii="Cambria" w:eastAsia="Calibri" w:hAnsi="Cambria" w:cs="Times New Roman"/>
                <w:color w:val="1D1B11"/>
                <w:sz w:val="20"/>
              </w:rPr>
              <w:t>Kaliumchlorid</w:t>
            </w:r>
          </w:p>
        </w:tc>
        <w:tc>
          <w:tcPr>
            <w:tcW w:w="3177" w:type="dxa"/>
            <w:gridSpan w:val="3"/>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P: -</w:t>
            </w:r>
          </w:p>
        </w:tc>
      </w:tr>
      <w:tr w:rsidR="00415759" w:rsidRPr="00415759"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sz w:val="20"/>
              </w:rPr>
            </w:pPr>
            <w:r w:rsidRPr="00415759">
              <w:rPr>
                <w:rFonts w:ascii="Cambria" w:eastAsia="Calibri" w:hAnsi="Cambria" w:cs="Times New Roman"/>
                <w:color w:val="1D1B11"/>
                <w:sz w:val="20"/>
              </w:rPr>
              <w:t>Calciumchlorid</w:t>
            </w:r>
          </w:p>
        </w:tc>
        <w:tc>
          <w:tcPr>
            <w:tcW w:w="3177" w:type="dxa"/>
            <w:gridSpan w:val="3"/>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P: 205+351+338</w:t>
            </w:r>
          </w:p>
        </w:tc>
      </w:tr>
      <w:tr w:rsidR="00415759" w:rsidRPr="00415759"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sz w:val="20"/>
              </w:rPr>
            </w:pPr>
            <w:r w:rsidRPr="00415759">
              <w:rPr>
                <w:rFonts w:ascii="Cambria" w:eastAsia="Calibri" w:hAnsi="Cambria" w:cs="Times New Roman"/>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P: -</w:t>
            </w:r>
          </w:p>
        </w:tc>
      </w:tr>
      <w:tr w:rsidR="00415759" w:rsidRPr="00415759"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sz w:val="20"/>
              </w:rPr>
            </w:pPr>
            <w:r w:rsidRPr="00415759">
              <w:rPr>
                <w:rFonts w:ascii="Cambria" w:eastAsia="Calibri" w:hAnsi="Cambria" w:cs="Times New Roman"/>
                <w:color w:val="1D1B11"/>
                <w:sz w:val="20"/>
              </w:rPr>
              <w:t>Natriumhydroxid</w:t>
            </w:r>
          </w:p>
        </w:tc>
        <w:tc>
          <w:tcPr>
            <w:tcW w:w="3177" w:type="dxa"/>
            <w:gridSpan w:val="3"/>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15759" w:rsidRPr="00415759" w:rsidRDefault="00415759" w:rsidP="00415759">
            <w:pPr>
              <w:widowControl w:val="0"/>
              <w:spacing w:after="0" w:line="360" w:lineRule="auto"/>
              <w:contextualSpacing/>
              <w:jc w:val="center"/>
              <w:rPr>
                <w:rFonts w:ascii="Cambria" w:eastAsia="Calibri" w:hAnsi="Cambria" w:cs="Times New Roman"/>
                <w:color w:val="1D1B11"/>
                <w:sz w:val="20"/>
              </w:rPr>
            </w:pPr>
            <w:r w:rsidRPr="00415759">
              <w:rPr>
                <w:rFonts w:ascii="Cambria" w:eastAsia="Calibri" w:hAnsi="Cambria" w:cs="Times New Roman"/>
                <w:color w:val="1D1B11"/>
                <w:sz w:val="20"/>
              </w:rPr>
              <w:t>P: 280, 301+330+331, 305+351+338, 308+310</w:t>
            </w:r>
          </w:p>
        </w:tc>
      </w:tr>
      <w:tr w:rsidR="00415759" w:rsidRPr="00415759" w:rsidTr="00505EAD">
        <w:tc>
          <w:tcPr>
            <w:tcW w:w="1009" w:type="dxa"/>
            <w:tcBorders>
              <w:top w:val="single" w:sz="8" w:space="0" w:color="4F81BD"/>
              <w:left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b/>
                <w:bCs/>
                <w:color w:val="1D1B11"/>
              </w:rPr>
            </w:pPr>
            <w:r w:rsidRPr="00415759">
              <w:rPr>
                <w:rFonts w:ascii="Cambria" w:eastAsia="Calibri" w:hAnsi="Cambria" w:cs="Times New Roman"/>
                <w:b/>
                <w:bCs/>
                <w:noProof/>
                <w:color w:val="1D1B11"/>
                <w:lang w:eastAsia="zh-TW"/>
              </w:rPr>
              <w:drawing>
                <wp:inline distT="0" distB="0" distL="0" distR="0" wp14:anchorId="4C3F9CE8" wp14:editId="3F734387">
                  <wp:extent cx="540000" cy="540000"/>
                  <wp:effectExtent l="0" t="0" r="0" b="0"/>
                  <wp:docPr id="24" name="Grafik 24"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43F26450" wp14:editId="44FF3BD6">
                  <wp:extent cx="540000" cy="540000"/>
                  <wp:effectExtent l="0" t="0" r="0" b="0"/>
                  <wp:docPr id="25" name="Grafik 25"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0EA7545E" wp14:editId="445C4289">
                  <wp:extent cx="540000" cy="540000"/>
                  <wp:effectExtent l="0" t="0" r="0" b="0"/>
                  <wp:docPr id="26" name="Grafik 26"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227157F0" wp14:editId="714767AE">
                  <wp:extent cx="540000" cy="540000"/>
                  <wp:effectExtent l="0" t="0" r="0" b="0"/>
                  <wp:docPr id="27" name="Grafik 27"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5B6161B7" wp14:editId="41EE8BB6">
                  <wp:extent cx="540000" cy="540000"/>
                  <wp:effectExtent l="0" t="0" r="0" b="0"/>
                  <wp:docPr id="28" name="Grafik 28"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7772A3F9" wp14:editId="04098604">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7C66F2FC" wp14:editId="14849BD8">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3E5B6F55" wp14:editId="54CADCC1">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15759" w:rsidRPr="00415759" w:rsidRDefault="00415759" w:rsidP="00415759">
            <w:pPr>
              <w:widowControl w:val="0"/>
              <w:spacing w:after="0" w:line="360" w:lineRule="auto"/>
              <w:contextualSpacing/>
              <w:jc w:val="both"/>
              <w:rPr>
                <w:rFonts w:ascii="Cambria" w:eastAsia="Calibri" w:hAnsi="Cambria" w:cs="Times New Roman"/>
                <w:color w:val="1D1B11"/>
              </w:rPr>
            </w:pPr>
            <w:r w:rsidRPr="00415759">
              <w:rPr>
                <w:rFonts w:ascii="Cambria" w:eastAsia="Calibri" w:hAnsi="Cambria" w:cs="Times New Roman"/>
                <w:noProof/>
                <w:color w:val="1D1B11"/>
                <w:lang w:eastAsia="zh-TW"/>
              </w:rPr>
              <w:drawing>
                <wp:inline distT="0" distB="0" distL="0" distR="0" wp14:anchorId="0583BFE5" wp14:editId="2A655742">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415759" w:rsidRPr="00415759" w:rsidRDefault="00415759" w:rsidP="00415759">
      <w:pPr>
        <w:widowControl w:val="0"/>
        <w:tabs>
          <w:tab w:val="left" w:pos="1701"/>
          <w:tab w:val="left" w:pos="1985"/>
        </w:tabs>
        <w:spacing w:after="200" w:line="360" w:lineRule="auto"/>
        <w:ind w:left="1980" w:hanging="1980"/>
        <w:contextualSpacing/>
        <w:jc w:val="both"/>
        <w:rPr>
          <w:rFonts w:ascii="Cambria" w:eastAsia="Calibri" w:hAnsi="Cambria" w:cs="Times New Roman"/>
          <w:color w:val="1D1B11"/>
        </w:rPr>
      </w:pPr>
    </w:p>
    <w:p w:rsidR="00415759" w:rsidRPr="00415759" w:rsidRDefault="00415759" w:rsidP="00415759">
      <w:pPr>
        <w:spacing w:after="200" w:line="360" w:lineRule="auto"/>
        <w:ind w:left="1701" w:hanging="1701"/>
        <w:contextualSpacing/>
        <w:jc w:val="both"/>
        <w:rPr>
          <w:rFonts w:ascii="Cambria" w:eastAsia="Calibri" w:hAnsi="Cambria" w:cs="Times New Roman"/>
          <w:b/>
          <w:color w:val="1D1B11"/>
        </w:rPr>
      </w:pPr>
      <w:r w:rsidRPr="00415759">
        <w:rPr>
          <w:rFonts w:ascii="Cambria" w:eastAsia="Calibri" w:hAnsi="Cambria" w:cs="Times New Roman"/>
          <w:b/>
          <w:color w:val="1D1B11"/>
        </w:rPr>
        <w:t>Materialien:</w:t>
      </w:r>
    </w:p>
    <w:p w:rsidR="00415759" w:rsidRPr="00415759" w:rsidRDefault="00415759" w:rsidP="00415759">
      <w:pPr>
        <w:spacing w:after="200" w:line="360" w:lineRule="auto"/>
        <w:ind w:left="1701" w:hanging="1701"/>
        <w:contextualSpacing/>
        <w:jc w:val="both"/>
        <w:rPr>
          <w:rFonts w:ascii="Cambria" w:eastAsia="Calibri" w:hAnsi="Cambria" w:cs="Times New Roman"/>
          <w:color w:val="1D1B11"/>
        </w:rPr>
      </w:pPr>
      <w:r w:rsidRPr="00415759">
        <w:rPr>
          <w:rFonts w:ascii="Cambria" w:eastAsia="Calibri" w:hAnsi="Cambria" w:cs="Times New Roman"/>
          <w:color w:val="1D1B11"/>
        </w:rPr>
        <w:t xml:space="preserve">Spannungsquelle, Kabel, Leitfähigkeitsprüfer, 2 Multimeter. </w:t>
      </w:r>
    </w:p>
    <w:p w:rsidR="00415759" w:rsidRPr="00415759" w:rsidRDefault="00415759" w:rsidP="00415759">
      <w:pPr>
        <w:spacing w:after="200" w:line="360" w:lineRule="auto"/>
        <w:contextualSpacing/>
        <w:jc w:val="both"/>
        <w:rPr>
          <w:rFonts w:ascii="Cambria" w:eastAsia="Calibri" w:hAnsi="Cambria" w:cs="Times New Roman"/>
          <w:color w:val="1D1B11"/>
        </w:rPr>
      </w:pPr>
    </w:p>
    <w:p w:rsidR="00415759" w:rsidRPr="00415759" w:rsidRDefault="00415759" w:rsidP="00415759">
      <w:pPr>
        <w:spacing w:after="200" w:line="360" w:lineRule="auto"/>
        <w:ind w:left="1701" w:hanging="1701"/>
        <w:contextualSpacing/>
        <w:jc w:val="both"/>
        <w:rPr>
          <w:rFonts w:ascii="Cambria" w:eastAsia="Calibri" w:hAnsi="Cambria" w:cs="Times New Roman"/>
          <w:b/>
          <w:color w:val="1D1B11"/>
        </w:rPr>
      </w:pPr>
      <w:r w:rsidRPr="00415759">
        <w:rPr>
          <w:rFonts w:ascii="Cambria" w:eastAsia="Calibri" w:hAnsi="Cambria" w:cs="Times New Roman"/>
          <w:b/>
          <w:color w:val="1D1B11"/>
        </w:rPr>
        <w:t>Chemikalien:</w:t>
      </w:r>
    </w:p>
    <w:p w:rsidR="00415759" w:rsidRPr="00415759" w:rsidRDefault="00415759" w:rsidP="00415759">
      <w:pPr>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Natriumchlorid, Kaliumchlorid, Calciumchlorid, Natriumhydroxid, dest. Wasser.</w:t>
      </w:r>
    </w:p>
    <w:p w:rsidR="00415759" w:rsidRPr="00415759" w:rsidRDefault="00415759" w:rsidP="00415759">
      <w:pPr>
        <w:spacing w:after="200" w:line="360" w:lineRule="auto"/>
        <w:ind w:left="1701" w:hanging="1701"/>
        <w:contextualSpacing/>
        <w:jc w:val="both"/>
        <w:rPr>
          <w:rFonts w:ascii="Cambria" w:eastAsia="Calibri" w:hAnsi="Cambria" w:cs="Times New Roman"/>
          <w:color w:val="1D1B11"/>
        </w:rPr>
      </w:pPr>
    </w:p>
    <w:p w:rsidR="00415759" w:rsidRPr="00415759" w:rsidRDefault="00415759" w:rsidP="00415759">
      <w:pPr>
        <w:spacing w:after="200" w:line="360" w:lineRule="auto"/>
        <w:contextualSpacing/>
        <w:jc w:val="both"/>
        <w:rPr>
          <w:rFonts w:ascii="Cambria" w:eastAsia="Calibri" w:hAnsi="Cambria" w:cs="Times New Roman"/>
          <w:b/>
          <w:color w:val="1D1B11"/>
        </w:rPr>
      </w:pPr>
      <w:r w:rsidRPr="00415759">
        <w:rPr>
          <w:rFonts w:ascii="Cambria" w:eastAsia="Calibri" w:hAnsi="Cambria" w:cs="Times New Roman"/>
          <w:b/>
          <w:color w:val="1D1B11"/>
        </w:rPr>
        <w:t>Durchführung:</w:t>
      </w:r>
    </w:p>
    <w:p w:rsidR="00415759" w:rsidRPr="00415759" w:rsidRDefault="00415759" w:rsidP="00415759">
      <w:pPr>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Zunächst werden je 30 mL einer Natriumchlorid-, Kaliumchlorid-, Calciumchlorid- und Natriumhydroxidlösung (c = 0,1 mol/L) angesetzt.</w:t>
      </w:r>
    </w:p>
    <w:p w:rsidR="00415759" w:rsidRPr="00415759" w:rsidRDefault="00415759" w:rsidP="00415759">
      <w:pPr>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 xml:space="preserve">Parallel zu der Spannungsquelle wird ein Multimeter als Voltmeter geschaltet. Der Leitfähigkeitsprüfer sowie wie ein weiteres Multimeter werden in Reihe geschaltet. Das Multimeter dient hierbei als Amperemeter. An der Spannungsquelle wird nun eine Spannung von 5 V angelegt. Nun können die Leitfähigkeiten gemessen werden. Zwischen den Messungen sollte der Leitfähigkeitsprüfer mit destilliertem Wasser abgespült werden. </w:t>
      </w:r>
    </w:p>
    <w:p w:rsidR="00415759" w:rsidRPr="00415759" w:rsidRDefault="00415759" w:rsidP="00415759">
      <w:pPr>
        <w:widowControl w:val="0"/>
        <w:spacing w:after="200" w:line="360" w:lineRule="auto"/>
        <w:contextualSpacing/>
        <w:jc w:val="both"/>
        <w:rPr>
          <w:rFonts w:ascii="Cambria" w:eastAsia="Calibri" w:hAnsi="Cambria" w:cs="Times New Roman"/>
          <w:color w:val="1D1B11"/>
        </w:rPr>
      </w:pPr>
    </w:p>
    <w:p w:rsidR="00415759" w:rsidRPr="00415759" w:rsidRDefault="00415759" w:rsidP="00415759">
      <w:pPr>
        <w:widowControl w:val="0"/>
        <w:spacing w:after="200" w:line="360" w:lineRule="auto"/>
        <w:ind w:left="1701" w:hanging="1701"/>
        <w:contextualSpacing/>
        <w:jc w:val="both"/>
        <w:rPr>
          <w:rFonts w:ascii="Cambria" w:eastAsia="Calibri" w:hAnsi="Cambria" w:cs="Times New Roman"/>
          <w:b/>
          <w:color w:val="1D1B11"/>
        </w:rPr>
      </w:pPr>
      <w:r w:rsidRPr="00415759">
        <w:rPr>
          <w:rFonts w:ascii="Cambria" w:eastAsia="Calibri" w:hAnsi="Cambria" w:cs="Times New Roman"/>
          <w:b/>
          <w:color w:val="1D1B11"/>
        </w:rPr>
        <w:t>Beobachtung:</w:t>
      </w:r>
    </w:p>
    <w:p w:rsidR="00415759" w:rsidRPr="00415759" w:rsidRDefault="00415759" w:rsidP="00415759">
      <w:pPr>
        <w:keepNext/>
        <w:spacing w:after="200" w:line="240" w:lineRule="auto"/>
        <w:jc w:val="both"/>
        <w:rPr>
          <w:rFonts w:ascii="Cambria" w:eastAsia="Calibri" w:hAnsi="Cambria" w:cs="Times New Roman"/>
          <w:bCs/>
          <w:sz w:val="18"/>
          <w:szCs w:val="18"/>
        </w:rPr>
      </w:pPr>
      <w:r w:rsidRPr="00415759">
        <w:rPr>
          <w:rFonts w:ascii="Cambria" w:eastAsia="Calibri" w:hAnsi="Cambria" w:cs="Times New Roman"/>
          <w:bCs/>
          <w:sz w:val="18"/>
          <w:szCs w:val="18"/>
        </w:rPr>
        <w:t xml:space="preserve">Tabelle </w:t>
      </w:r>
      <w:r w:rsidRPr="00415759">
        <w:rPr>
          <w:rFonts w:ascii="Cambria" w:eastAsia="Calibri" w:hAnsi="Cambria" w:cs="Times New Roman"/>
          <w:bCs/>
          <w:sz w:val="18"/>
          <w:szCs w:val="18"/>
        </w:rPr>
        <w:fldChar w:fldCharType="begin"/>
      </w:r>
      <w:r w:rsidRPr="00415759">
        <w:rPr>
          <w:rFonts w:ascii="Cambria" w:eastAsia="Calibri" w:hAnsi="Cambria" w:cs="Times New Roman"/>
          <w:bCs/>
          <w:sz w:val="18"/>
          <w:szCs w:val="18"/>
        </w:rPr>
        <w:instrText xml:space="preserve"> SEQ Tabelle \* ARABIC </w:instrText>
      </w:r>
      <w:r w:rsidRPr="00415759">
        <w:rPr>
          <w:rFonts w:ascii="Cambria" w:eastAsia="Calibri" w:hAnsi="Cambria" w:cs="Times New Roman"/>
          <w:bCs/>
          <w:sz w:val="18"/>
          <w:szCs w:val="18"/>
        </w:rPr>
        <w:fldChar w:fldCharType="separate"/>
      </w:r>
      <w:r w:rsidR="00EB6453">
        <w:rPr>
          <w:rFonts w:ascii="Cambria" w:eastAsia="Calibri" w:hAnsi="Cambria" w:cs="Times New Roman"/>
          <w:bCs/>
          <w:noProof/>
          <w:sz w:val="18"/>
          <w:szCs w:val="18"/>
        </w:rPr>
        <w:t>1</w:t>
      </w:r>
      <w:r w:rsidRPr="00415759">
        <w:rPr>
          <w:rFonts w:ascii="Cambria" w:eastAsia="Calibri" w:hAnsi="Cambria" w:cs="Times New Roman"/>
          <w:bCs/>
          <w:noProof/>
          <w:sz w:val="18"/>
          <w:szCs w:val="18"/>
        </w:rPr>
        <w:fldChar w:fldCharType="end"/>
      </w:r>
      <w:r w:rsidRPr="00415759">
        <w:rPr>
          <w:rFonts w:ascii="Cambria" w:eastAsia="Calibri" w:hAnsi="Cambria" w:cs="Times New Roman"/>
          <w:bCs/>
          <w:sz w:val="18"/>
          <w:szCs w:val="18"/>
        </w:rPr>
        <w:t>: Messwerte der Leitfähigkeit verschiedener Lösungen.</w:t>
      </w:r>
    </w:p>
    <w:tbl>
      <w:tblPr>
        <w:tblStyle w:val="Listentabelle3Akzent112"/>
        <w:tblW w:w="0" w:type="auto"/>
        <w:tblLook w:val="00A0" w:firstRow="1" w:lastRow="0" w:firstColumn="1" w:lastColumn="0" w:noHBand="0" w:noVBand="0"/>
      </w:tblPr>
      <w:tblGrid>
        <w:gridCol w:w="1839"/>
        <w:gridCol w:w="1840"/>
        <w:gridCol w:w="1841"/>
        <w:gridCol w:w="1841"/>
      </w:tblGrid>
      <w:tr w:rsidR="00415759" w:rsidRPr="00415759" w:rsidTr="004157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39"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Salz</w:t>
            </w:r>
          </w:p>
        </w:tc>
        <w:tc>
          <w:tcPr>
            <w:cnfStyle w:val="000010000000" w:firstRow="0" w:lastRow="0" w:firstColumn="0" w:lastColumn="0" w:oddVBand="1" w:evenVBand="0" w:oddHBand="0" w:evenHBand="0" w:firstRowFirstColumn="0" w:firstRowLastColumn="0" w:lastRowFirstColumn="0" w:lastRowLastColumn="0"/>
            <w:tcW w:w="1840"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Konzentration [mol/L]</w:t>
            </w:r>
          </w:p>
        </w:tc>
        <w:tc>
          <w:tcPr>
            <w:tcW w:w="1841" w:type="dxa"/>
          </w:tcPr>
          <w:p w:rsidR="00415759" w:rsidRPr="00415759" w:rsidRDefault="00415759" w:rsidP="00415759">
            <w:pPr>
              <w:contextualSpacing/>
              <w:cnfStyle w:val="100000000000" w:firstRow="1" w:lastRow="0" w:firstColumn="0" w:lastColumn="0" w:oddVBand="0" w:evenVBand="0" w:oddHBand="0" w:evenHBand="0" w:firstRowFirstColumn="0" w:firstRowLastColumn="0" w:lastRowFirstColumn="0" w:lastRowLastColumn="0"/>
              <w:rPr>
                <w:rFonts w:ascii="Cambria" w:eastAsia="Calibri" w:hAnsi="Cambria" w:cs="Times New Roman"/>
                <w:color w:val="1D1B11"/>
              </w:rPr>
            </w:pPr>
            <w:r w:rsidRPr="00415759">
              <w:rPr>
                <w:rFonts w:ascii="Cambria" w:eastAsia="Calibri" w:hAnsi="Cambria" w:cs="Times New Roman"/>
                <w:color w:val="1D1B11"/>
              </w:rPr>
              <w:t>U [V]</w:t>
            </w:r>
          </w:p>
        </w:tc>
        <w:tc>
          <w:tcPr>
            <w:cnfStyle w:val="000010000000" w:firstRow="0" w:lastRow="0" w:firstColumn="0" w:lastColumn="0" w:oddVBand="1" w:evenVBand="0" w:oddHBand="0" w:evenHBand="0" w:firstRowFirstColumn="0" w:firstRowLastColumn="0" w:lastRowFirstColumn="0" w:lastRowLastColumn="0"/>
            <w:tcW w:w="1841"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I [mA]</w:t>
            </w:r>
          </w:p>
        </w:tc>
      </w:tr>
      <w:tr w:rsidR="00415759" w:rsidRPr="00415759" w:rsidTr="00415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NaCl</w:t>
            </w:r>
          </w:p>
        </w:tc>
        <w:tc>
          <w:tcPr>
            <w:cnfStyle w:val="000010000000" w:firstRow="0" w:lastRow="0" w:firstColumn="0" w:lastColumn="0" w:oddVBand="1" w:evenVBand="0" w:oddHBand="0" w:evenHBand="0" w:firstRowFirstColumn="0" w:firstRowLastColumn="0" w:lastRowFirstColumn="0" w:lastRowLastColumn="0"/>
            <w:tcW w:w="1840"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0,1</w:t>
            </w:r>
          </w:p>
        </w:tc>
        <w:tc>
          <w:tcPr>
            <w:tcW w:w="1841" w:type="dxa"/>
          </w:tcPr>
          <w:p w:rsidR="00415759" w:rsidRPr="00415759" w:rsidRDefault="00415759" w:rsidP="00415759">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1D1B11"/>
              </w:rPr>
            </w:pPr>
            <w:r w:rsidRPr="00415759">
              <w:rPr>
                <w:rFonts w:ascii="Cambria" w:eastAsia="Calibri" w:hAnsi="Cambria" w:cs="Times New Roman"/>
                <w:color w:val="1D1B11"/>
              </w:rPr>
              <w:t>4,8</w:t>
            </w:r>
          </w:p>
        </w:tc>
        <w:tc>
          <w:tcPr>
            <w:cnfStyle w:val="000010000000" w:firstRow="0" w:lastRow="0" w:firstColumn="0" w:lastColumn="0" w:oddVBand="1" w:evenVBand="0" w:oddHBand="0" w:evenHBand="0" w:firstRowFirstColumn="0" w:firstRowLastColumn="0" w:lastRowFirstColumn="0" w:lastRowLastColumn="0"/>
            <w:tcW w:w="1841"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0,27</w:t>
            </w:r>
          </w:p>
        </w:tc>
      </w:tr>
      <w:tr w:rsidR="00415759" w:rsidRPr="00415759" w:rsidTr="00415759">
        <w:tc>
          <w:tcPr>
            <w:cnfStyle w:val="001000000000" w:firstRow="0" w:lastRow="0" w:firstColumn="1" w:lastColumn="0" w:oddVBand="0" w:evenVBand="0" w:oddHBand="0" w:evenHBand="0" w:firstRowFirstColumn="0" w:firstRowLastColumn="0" w:lastRowFirstColumn="0" w:lastRowLastColumn="0"/>
            <w:tcW w:w="1839"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KCl</w:t>
            </w:r>
          </w:p>
        </w:tc>
        <w:tc>
          <w:tcPr>
            <w:cnfStyle w:val="000010000000" w:firstRow="0" w:lastRow="0" w:firstColumn="0" w:lastColumn="0" w:oddVBand="1" w:evenVBand="0" w:oddHBand="0" w:evenHBand="0" w:firstRowFirstColumn="0" w:firstRowLastColumn="0" w:lastRowFirstColumn="0" w:lastRowLastColumn="0"/>
            <w:tcW w:w="1840"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0,1</w:t>
            </w:r>
          </w:p>
        </w:tc>
        <w:tc>
          <w:tcPr>
            <w:tcW w:w="1841" w:type="dxa"/>
          </w:tcPr>
          <w:p w:rsidR="00415759" w:rsidRPr="00415759" w:rsidRDefault="00415759" w:rsidP="00415759">
            <w:pPr>
              <w:contextualSpacing/>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1D1B11"/>
              </w:rPr>
            </w:pPr>
            <w:r w:rsidRPr="00415759">
              <w:rPr>
                <w:rFonts w:ascii="Cambria" w:eastAsia="Calibri" w:hAnsi="Cambria" w:cs="Times New Roman"/>
                <w:color w:val="1D1B11"/>
              </w:rPr>
              <w:t>5,1</w:t>
            </w:r>
          </w:p>
        </w:tc>
        <w:tc>
          <w:tcPr>
            <w:cnfStyle w:val="000010000000" w:firstRow="0" w:lastRow="0" w:firstColumn="0" w:lastColumn="0" w:oddVBand="1" w:evenVBand="0" w:oddHBand="0" w:evenHBand="0" w:firstRowFirstColumn="0" w:firstRowLastColumn="0" w:lastRowFirstColumn="0" w:lastRowLastColumn="0"/>
            <w:tcW w:w="1841"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0,31</w:t>
            </w:r>
          </w:p>
        </w:tc>
      </w:tr>
      <w:tr w:rsidR="00415759" w:rsidRPr="00415759" w:rsidTr="00415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9" w:type="dxa"/>
          </w:tcPr>
          <w:p w:rsidR="00415759" w:rsidRPr="00415759" w:rsidRDefault="00415759" w:rsidP="00415759">
            <w:pPr>
              <w:contextualSpacing/>
              <w:rPr>
                <w:rFonts w:ascii="Cambria" w:eastAsia="Calibri" w:hAnsi="Cambria" w:cs="Times New Roman"/>
                <w:color w:val="1D1B11"/>
                <w:vertAlign w:val="subscript"/>
              </w:rPr>
            </w:pPr>
            <w:r w:rsidRPr="00415759">
              <w:rPr>
                <w:rFonts w:ascii="Cambria" w:eastAsia="Calibri" w:hAnsi="Cambria" w:cs="Times New Roman"/>
                <w:color w:val="1D1B11"/>
              </w:rPr>
              <w:t>CaCl</w:t>
            </w:r>
            <w:r w:rsidRPr="00415759">
              <w:rPr>
                <w:rFonts w:ascii="Cambria" w:eastAsia="Calibri" w:hAnsi="Cambria" w:cs="Times New Roman"/>
                <w:color w:val="1D1B11"/>
                <w:vertAlign w:val="subscript"/>
              </w:rPr>
              <w:t>2</w:t>
            </w:r>
          </w:p>
        </w:tc>
        <w:tc>
          <w:tcPr>
            <w:cnfStyle w:val="000010000000" w:firstRow="0" w:lastRow="0" w:firstColumn="0" w:lastColumn="0" w:oddVBand="1" w:evenVBand="0" w:oddHBand="0" w:evenHBand="0" w:firstRowFirstColumn="0" w:firstRowLastColumn="0" w:lastRowFirstColumn="0" w:lastRowLastColumn="0"/>
            <w:tcW w:w="1840"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0,1</w:t>
            </w:r>
          </w:p>
        </w:tc>
        <w:tc>
          <w:tcPr>
            <w:tcW w:w="1841" w:type="dxa"/>
          </w:tcPr>
          <w:p w:rsidR="00415759" w:rsidRPr="00415759" w:rsidRDefault="00415759" w:rsidP="00415759">
            <w:pPr>
              <w:contextualSpacing/>
              <w:cnfStyle w:val="000000100000" w:firstRow="0" w:lastRow="0" w:firstColumn="0" w:lastColumn="0" w:oddVBand="0" w:evenVBand="0" w:oddHBand="1" w:evenHBand="0" w:firstRowFirstColumn="0" w:firstRowLastColumn="0" w:lastRowFirstColumn="0" w:lastRowLastColumn="0"/>
              <w:rPr>
                <w:rFonts w:ascii="Cambria" w:eastAsia="Calibri" w:hAnsi="Cambria" w:cs="Times New Roman"/>
                <w:color w:val="1D1B11"/>
              </w:rPr>
            </w:pPr>
            <w:r w:rsidRPr="00415759">
              <w:rPr>
                <w:rFonts w:ascii="Cambria" w:eastAsia="Calibri" w:hAnsi="Cambria" w:cs="Times New Roman"/>
                <w:color w:val="1D1B11"/>
              </w:rPr>
              <w:t>5,0</w:t>
            </w:r>
          </w:p>
        </w:tc>
        <w:tc>
          <w:tcPr>
            <w:cnfStyle w:val="000010000000" w:firstRow="0" w:lastRow="0" w:firstColumn="0" w:lastColumn="0" w:oddVBand="1" w:evenVBand="0" w:oddHBand="0" w:evenHBand="0" w:firstRowFirstColumn="0" w:firstRowLastColumn="0" w:lastRowFirstColumn="0" w:lastRowLastColumn="0"/>
            <w:tcW w:w="1841"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0,49</w:t>
            </w:r>
          </w:p>
        </w:tc>
      </w:tr>
      <w:tr w:rsidR="00415759" w:rsidRPr="00415759" w:rsidTr="00415759">
        <w:tc>
          <w:tcPr>
            <w:cnfStyle w:val="001000000000" w:firstRow="0" w:lastRow="0" w:firstColumn="1" w:lastColumn="0" w:oddVBand="0" w:evenVBand="0" w:oddHBand="0" w:evenHBand="0" w:firstRowFirstColumn="0" w:firstRowLastColumn="0" w:lastRowFirstColumn="0" w:lastRowLastColumn="0"/>
            <w:tcW w:w="1839"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NaOH</w:t>
            </w:r>
          </w:p>
        </w:tc>
        <w:tc>
          <w:tcPr>
            <w:cnfStyle w:val="000010000000" w:firstRow="0" w:lastRow="0" w:firstColumn="0" w:lastColumn="0" w:oddVBand="1" w:evenVBand="0" w:oddHBand="0" w:evenHBand="0" w:firstRowFirstColumn="0" w:firstRowLastColumn="0" w:lastRowFirstColumn="0" w:lastRowLastColumn="0"/>
            <w:tcW w:w="1840"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0,1</w:t>
            </w:r>
          </w:p>
        </w:tc>
        <w:tc>
          <w:tcPr>
            <w:tcW w:w="1841" w:type="dxa"/>
          </w:tcPr>
          <w:p w:rsidR="00415759" w:rsidRPr="00415759" w:rsidRDefault="00415759" w:rsidP="00415759">
            <w:pPr>
              <w:contextualSpacing/>
              <w:cnfStyle w:val="000000000000" w:firstRow="0" w:lastRow="0" w:firstColumn="0" w:lastColumn="0" w:oddVBand="0" w:evenVBand="0" w:oddHBand="0" w:evenHBand="0" w:firstRowFirstColumn="0" w:firstRowLastColumn="0" w:lastRowFirstColumn="0" w:lastRowLastColumn="0"/>
              <w:rPr>
                <w:rFonts w:ascii="Cambria" w:eastAsia="Calibri" w:hAnsi="Cambria" w:cs="Times New Roman"/>
                <w:color w:val="1D1B11"/>
              </w:rPr>
            </w:pPr>
            <w:r w:rsidRPr="00415759">
              <w:rPr>
                <w:rFonts w:ascii="Cambria" w:eastAsia="Calibri" w:hAnsi="Cambria" w:cs="Times New Roman"/>
                <w:color w:val="1D1B11"/>
              </w:rPr>
              <w:t>4,8</w:t>
            </w:r>
          </w:p>
        </w:tc>
        <w:tc>
          <w:tcPr>
            <w:cnfStyle w:val="000010000000" w:firstRow="0" w:lastRow="0" w:firstColumn="0" w:lastColumn="0" w:oddVBand="1" w:evenVBand="0" w:oddHBand="0" w:evenHBand="0" w:firstRowFirstColumn="0" w:firstRowLastColumn="0" w:lastRowFirstColumn="0" w:lastRowLastColumn="0"/>
            <w:tcW w:w="1841" w:type="dxa"/>
          </w:tcPr>
          <w:p w:rsidR="00415759" w:rsidRPr="00415759" w:rsidRDefault="00415759" w:rsidP="00415759">
            <w:pPr>
              <w:contextualSpacing/>
              <w:rPr>
                <w:rFonts w:ascii="Cambria" w:eastAsia="Calibri" w:hAnsi="Cambria" w:cs="Times New Roman"/>
                <w:color w:val="1D1B11"/>
              </w:rPr>
            </w:pPr>
            <w:r w:rsidRPr="00415759">
              <w:rPr>
                <w:rFonts w:ascii="Cambria" w:eastAsia="Calibri" w:hAnsi="Cambria" w:cs="Times New Roman"/>
                <w:color w:val="1D1B11"/>
              </w:rPr>
              <w:t>0,56</w:t>
            </w:r>
          </w:p>
        </w:tc>
      </w:tr>
    </w:tbl>
    <w:p w:rsidR="00415759" w:rsidRPr="00415759" w:rsidRDefault="00415759" w:rsidP="00415759">
      <w:pPr>
        <w:widowControl w:val="0"/>
        <w:spacing w:after="200" w:line="360" w:lineRule="auto"/>
        <w:contextualSpacing/>
        <w:jc w:val="both"/>
        <w:rPr>
          <w:rFonts w:ascii="Cambria" w:eastAsia="Calibri" w:hAnsi="Cambria" w:cs="Times New Roman"/>
          <w:color w:val="1D1B11"/>
        </w:rPr>
      </w:pPr>
    </w:p>
    <w:p w:rsidR="00415759" w:rsidRPr="00415759" w:rsidRDefault="00415759" w:rsidP="00415759">
      <w:pPr>
        <w:widowControl w:val="0"/>
        <w:spacing w:after="200" w:line="360" w:lineRule="auto"/>
        <w:ind w:left="1701" w:hanging="1701"/>
        <w:contextualSpacing/>
        <w:jc w:val="both"/>
        <w:rPr>
          <w:rFonts w:ascii="Cambria" w:eastAsia="Calibri" w:hAnsi="Cambria" w:cs="Times New Roman"/>
          <w:b/>
          <w:color w:val="1D1B11"/>
        </w:rPr>
      </w:pPr>
    </w:p>
    <w:p w:rsidR="00415759" w:rsidRPr="00415759" w:rsidRDefault="00415759" w:rsidP="00415759">
      <w:pPr>
        <w:widowControl w:val="0"/>
        <w:spacing w:after="200" w:line="360" w:lineRule="auto"/>
        <w:ind w:left="1701" w:hanging="1701"/>
        <w:contextualSpacing/>
        <w:jc w:val="both"/>
        <w:rPr>
          <w:rFonts w:ascii="Cambria" w:eastAsia="Calibri" w:hAnsi="Cambria" w:cs="Times New Roman"/>
          <w:b/>
          <w:color w:val="1D1B11"/>
        </w:rPr>
      </w:pPr>
      <w:r w:rsidRPr="00415759">
        <w:rPr>
          <w:rFonts w:ascii="Cambria" w:eastAsia="Calibri" w:hAnsi="Cambria" w:cs="Times New Roman"/>
          <w:b/>
          <w:color w:val="1D1B11"/>
        </w:rPr>
        <w:lastRenderedPageBreak/>
        <w:t>Deutung:</w:t>
      </w:r>
    </w:p>
    <w:p w:rsidR="00415759" w:rsidRPr="00415759" w:rsidRDefault="00415759" w:rsidP="00415759">
      <w:pPr>
        <w:widowControl w:val="0"/>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Vergleicht man die gemessene Stromstärke der Natrium-, Kalium- und Calciumkationen miteinander, lässt sich erkennen, dass Calciumchlorid die höchste Leitfähigkeit besitzt. Dies ist damit zu begründen, dass Calcium ein zweiwertiges Ion ist, hier also zwei Ladungen vorhanden sind. Kaliumchlorid weist zudem eine höhere Leitfähigkeit auf als Natriumchlorid, was mit dem Ionenradius (inkl. Hydrathülle) zu begründen ist. Durch die geringere Größe des Natriumions liegt die Ladung hier konzentrierter vor. In der Folge erfahren die Wassermoleküle eine stärkere Anziehungskraft durch das stärkere elektrische Feld des Natriumions, wodurch sich hier die größere Hydrathülle bildet. Da sich um das Kaliumion eine kleinere Hydrathülle bildet, ist das hydratisierte Kaliumion kleiner und daher beweglicher. Daher rührt auch die höhere Leitfähigkeit des Kaliumions.</w:t>
      </w:r>
    </w:p>
    <w:p w:rsidR="00415759" w:rsidRPr="00415759" w:rsidRDefault="00415759" w:rsidP="00415759">
      <w:pPr>
        <w:widowControl w:val="0"/>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 xml:space="preserve">Vergleicht man nun noch die Leitfähigkeiten von Natriumchlorid und Natriumhydroxid fällt auf, dass das Natriumhydroxid die größere Leitfähigkeit aufweist. Dies ist mit der Besonderheit der Oxonium- und Hydroxidionen zu begründen, dass Protonen von einem Molekül auf das nächste „springen“ können. Dieses nennt man den Grotthuß-Mechanismus. Dadurch kann hier ein Ladungstransport ohne gleichzeitigen Massentransport stattfinden. </w:t>
      </w:r>
    </w:p>
    <w:p w:rsidR="00415759" w:rsidRPr="00415759" w:rsidRDefault="00415759" w:rsidP="00415759">
      <w:pPr>
        <w:widowControl w:val="0"/>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Eine Deutung für die SuS könnte dann wie folgt aussehen: Da das Calciumion zwei Ladungen und somit eine mehr als das Kalium- und Natriumion hat, weist es die höchste Leitfähigkeit auf. Da die Natriumionen mit der gebildeten Hydrathülle einen größeren Radius haben als die Kaliumionen mit der Hydrathülle, sind die Kaliumionen leitfähiger. Sie können sich, aufgrund ihrer geringeren Größe schneller bewegen.</w:t>
      </w:r>
    </w:p>
    <w:p w:rsidR="00415759" w:rsidRPr="00415759" w:rsidRDefault="00415759" w:rsidP="00415759">
      <w:pPr>
        <w:widowControl w:val="0"/>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Im Vergleich zu der Natriumchloridlösung zeigt die Natriumhydroxidlösung eine höhere Leitfähigkeit. Dafür sind die Hydroxidionen verantwortlich, die eine Ausnahme bilden und trotz eines großen Ionenradius eine sehr hohe Leitfähigkeit aufweisen, da die Hydroxidionen Protonen aufnehmen und wieder abgeben können, ohne dass dabei Teilchen durch die Lösung „wandern“ müssen. Somit werden hier Ladungen transportiert, ohne dass sich die Teilchen durch die Lösung bewegen müssen.</w:t>
      </w:r>
    </w:p>
    <w:p w:rsidR="00415759" w:rsidRPr="00415759" w:rsidRDefault="00415759" w:rsidP="00415759">
      <w:pPr>
        <w:widowControl w:val="0"/>
        <w:tabs>
          <w:tab w:val="left" w:pos="1701"/>
          <w:tab w:val="left" w:pos="1985"/>
        </w:tabs>
        <w:spacing w:after="200" w:line="360" w:lineRule="auto"/>
        <w:contextualSpacing/>
        <w:jc w:val="both"/>
        <w:rPr>
          <w:rFonts w:ascii="Cambria" w:eastAsia="MS Mincho" w:hAnsi="Cambria" w:cs="Times New Roman"/>
          <w:b/>
          <w:color w:val="1D1B11"/>
        </w:rPr>
      </w:pPr>
    </w:p>
    <w:p w:rsidR="00415759" w:rsidRPr="00415759" w:rsidRDefault="00415759" w:rsidP="00415759">
      <w:pPr>
        <w:widowControl w:val="0"/>
        <w:spacing w:after="200" w:line="360" w:lineRule="auto"/>
        <w:ind w:left="1701" w:hanging="1701"/>
        <w:contextualSpacing/>
        <w:jc w:val="both"/>
        <w:rPr>
          <w:rFonts w:ascii="Cambria" w:eastAsia="Calibri" w:hAnsi="Cambria" w:cs="Times New Roman"/>
          <w:b/>
          <w:color w:val="1D1B11"/>
        </w:rPr>
      </w:pPr>
      <w:r w:rsidRPr="00415759">
        <w:rPr>
          <w:rFonts w:ascii="Cambria" w:eastAsia="Calibri" w:hAnsi="Cambria" w:cs="Times New Roman"/>
          <w:b/>
          <w:color w:val="1D1B11"/>
        </w:rPr>
        <w:t>Entsorgung:</w:t>
      </w:r>
    </w:p>
    <w:p w:rsidR="00415759" w:rsidRPr="00415759" w:rsidRDefault="00415759" w:rsidP="00415759">
      <w:pPr>
        <w:widowControl w:val="0"/>
        <w:spacing w:after="200" w:line="360" w:lineRule="auto"/>
        <w:contextualSpacing/>
        <w:jc w:val="both"/>
        <w:rPr>
          <w:rFonts w:ascii="Cambria" w:eastAsia="Calibri" w:hAnsi="Cambria" w:cs="Times New Roman"/>
          <w:color w:val="1D1B11"/>
        </w:rPr>
      </w:pPr>
      <w:r w:rsidRPr="00415759">
        <w:rPr>
          <w:rFonts w:ascii="Cambria" w:eastAsia="Calibri" w:hAnsi="Cambria" w:cs="Times New Roman"/>
          <w:color w:val="1D1B11"/>
        </w:rPr>
        <w:t>Natrium-, Kalium- und Calciumchlorid können über den Ausguss entsorgt werden. Die Natronlauge wird über den Sammelbehälter für anorganische Schwermetallabfälle entsorgt.</w:t>
      </w:r>
    </w:p>
    <w:p w:rsidR="00415759" w:rsidRPr="00415759" w:rsidRDefault="00415759" w:rsidP="00415759">
      <w:pPr>
        <w:widowControl w:val="0"/>
        <w:spacing w:after="200" w:line="360" w:lineRule="auto"/>
        <w:contextualSpacing/>
        <w:jc w:val="both"/>
        <w:rPr>
          <w:rFonts w:ascii="Cambria" w:eastAsia="Calibri" w:hAnsi="Cambria" w:cs="Times New Roman"/>
          <w:color w:val="1D1B11"/>
        </w:rPr>
      </w:pPr>
    </w:p>
    <w:p w:rsidR="00415759" w:rsidRPr="00415759" w:rsidRDefault="00415759" w:rsidP="00415759">
      <w:pPr>
        <w:widowControl w:val="0"/>
        <w:spacing w:after="200" w:line="360" w:lineRule="auto"/>
        <w:contextualSpacing/>
        <w:jc w:val="both"/>
        <w:rPr>
          <w:rFonts w:ascii="Cambria" w:eastAsia="Calibri" w:hAnsi="Cambria" w:cs="Times New Roman"/>
          <w:b/>
          <w:color w:val="1D1B11"/>
        </w:rPr>
      </w:pPr>
      <w:r w:rsidRPr="00415759">
        <w:rPr>
          <w:rFonts w:ascii="Cambria" w:eastAsia="Calibri" w:hAnsi="Cambria" w:cs="Times New Roman"/>
          <w:b/>
          <w:color w:val="1D1B11"/>
        </w:rPr>
        <w:t>Literatur:</w:t>
      </w:r>
    </w:p>
    <w:p w:rsidR="00415759" w:rsidRPr="00415759" w:rsidRDefault="00415759" w:rsidP="00415759">
      <w:pPr>
        <w:spacing w:after="200" w:line="276" w:lineRule="auto"/>
        <w:ind w:firstLine="3"/>
        <w:rPr>
          <w:rFonts w:ascii="Cambria" w:eastAsia="Calibri" w:hAnsi="Cambria" w:cs="Times New Roman"/>
          <w:color w:val="1D1B11"/>
        </w:rPr>
      </w:pPr>
      <w:r w:rsidRPr="00415759">
        <w:rPr>
          <w:rFonts w:ascii="Cambria" w:eastAsia="Calibri" w:hAnsi="Cambria" w:cs="Times New Roman"/>
          <w:color w:val="1D1B11"/>
        </w:rPr>
        <w:t>[1] R. Herbst-Irmer, Praktikumsskript zum anorganisch-chemischen Fortgeschrittenenpraktikum für Lehramtskandidaten, Göttingen: Universität Göttingen, (2017).</w:t>
      </w:r>
    </w:p>
    <w:p w:rsidR="00415759" w:rsidRPr="00415759" w:rsidRDefault="00415759" w:rsidP="00415759">
      <w:pPr>
        <w:spacing w:after="200" w:line="276" w:lineRule="auto"/>
        <w:ind w:firstLine="3"/>
        <w:rPr>
          <w:rFonts w:ascii="Cambria" w:eastAsia="Calibri" w:hAnsi="Cambria" w:cs="Times New Roman"/>
          <w:color w:val="1D1B11"/>
        </w:rPr>
      </w:pPr>
      <w:r w:rsidRPr="00415759">
        <w:rPr>
          <w:rFonts w:ascii="Cambria" w:eastAsia="Calibri" w:hAnsi="Cambria" w:cs="Times New Roman"/>
          <w:color w:val="1D1B11"/>
        </w:rPr>
        <w:t>[2] G. Gauglitz, H. Löbert, http://www.chemgapedia.de/vsengine/vlu/vsc/de/ch/13/vlu/echemie/leitfaehigkeit/leitfaehi</w:t>
      </w:r>
      <w:r w:rsidRPr="00415759">
        <w:rPr>
          <w:rFonts w:ascii="Cambria" w:eastAsia="Calibri" w:hAnsi="Cambria" w:cs="Times New Roman"/>
          <w:color w:val="1D1B11"/>
        </w:rPr>
        <w:lastRenderedPageBreak/>
        <w:t>gkeit.vlu/Page/vsc/de/ch/13/pc/echemie/leitfaehigkeit/hydratat.vscml.html (zuletzt abgerufen am 7.8.2018 um 12:28 Uhr)</w:t>
      </w:r>
    </w:p>
    <w:p w:rsidR="00415759" w:rsidRPr="00415759" w:rsidRDefault="00415759" w:rsidP="00415759">
      <w:pPr>
        <w:spacing w:after="200" w:line="276" w:lineRule="auto"/>
        <w:ind w:firstLine="3"/>
        <w:rPr>
          <w:rFonts w:ascii="Cambria" w:eastAsia="Calibri" w:hAnsi="Cambria" w:cs="Times New Roman"/>
          <w:color w:val="1D1B11"/>
        </w:rPr>
      </w:pPr>
      <w:r w:rsidRPr="00415759">
        <w:rPr>
          <w:rFonts w:ascii="Cambria" w:eastAsia="Calibri" w:hAnsi="Cambria" w:cs="Times New Roman"/>
          <w:color w:val="1D1B11"/>
        </w:rPr>
        <w:t>[3] A. Maelicke, L. Kürz, http://www.chemgapedia.de/vsengine/vlu/vsc/de/ch/8/bc/vlu/neurotransmission/ionenkanaele.vlu/Page/vsc/de/ch/8/bc/neurotransmission/ionen_hydrat.vscml.html (zuletzt abgerufen am 7.8.210 um 20:51)</w:t>
      </w:r>
    </w:p>
    <w:p w:rsidR="009D0F8E" w:rsidRPr="00415759" w:rsidRDefault="001623AD" w:rsidP="00415759"/>
    <w:sectPr w:rsidR="009D0F8E" w:rsidRPr="00415759" w:rsidSect="00346B45">
      <w:headerReference w:type="default" r:id="rId2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3AD" w:rsidRDefault="001623AD">
      <w:pPr>
        <w:spacing w:after="0" w:line="240" w:lineRule="auto"/>
      </w:pPr>
      <w:r>
        <w:separator/>
      </w:r>
    </w:p>
  </w:endnote>
  <w:endnote w:type="continuationSeparator" w:id="0">
    <w:p w:rsidR="001623AD" w:rsidRDefault="00162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3AD" w:rsidRDefault="001623AD">
      <w:pPr>
        <w:spacing w:after="0" w:line="240" w:lineRule="auto"/>
      </w:pPr>
      <w:r>
        <w:separator/>
      </w:r>
    </w:p>
  </w:footnote>
  <w:footnote w:type="continuationSeparator" w:id="0">
    <w:p w:rsidR="001623AD" w:rsidRDefault="00162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576892137"/>
      <w:docPartObj>
        <w:docPartGallery w:val="Page Numbers (Top of Page)"/>
        <w:docPartUnique/>
      </w:docPartObj>
    </w:sdtPr>
    <w:sdtEndPr/>
    <w:sdtContent>
      <w:p w:rsidR="00E16329" w:rsidRPr="00413732" w:rsidRDefault="00415759" w:rsidP="00846800">
        <w:pPr>
          <w:pStyle w:val="Kopfzeile"/>
          <w:tabs>
            <w:tab w:val="left" w:pos="0"/>
            <w:tab w:val="left" w:pos="284"/>
          </w:tabs>
          <w:jc w:val="center"/>
          <w:rPr>
            <w:sz w:val="20"/>
            <w:szCs w:val="20"/>
          </w:rPr>
        </w:pPr>
        <w:r>
          <w:fldChar w:fldCharType="begin"/>
        </w:r>
        <w:r>
          <w:instrText xml:space="preserve"> STYLEREF  "Überschrift 1" \n  \* MERGEFORMAT </w:instrText>
        </w:r>
        <w:r>
          <w:fldChar w:fldCharType="separate"/>
        </w:r>
        <w:r w:rsidR="00EB6453">
          <w:rPr>
            <w:b/>
            <w:bCs/>
            <w:noProof/>
          </w:rPr>
          <w:t>Fehler! Verwenden Sie die Registerkarte 'Start', um Überschrift 1 dem Text zuzuweisen, der hier angezeigt werden soll.</w:t>
        </w:r>
        <w:r>
          <w:rPr>
            <w:b/>
            <w:bCs/>
            <w:noProof/>
            <w:sz w:val="20"/>
          </w:rPr>
          <w:fldChar w:fldCharType="end"/>
        </w:r>
        <w:r w:rsidRPr="00413732">
          <w:rPr>
            <w:rFonts w:cs="Arial"/>
            <w:sz w:val="20"/>
            <w:szCs w:val="20"/>
          </w:rPr>
          <w:t xml:space="preserve"> </w:t>
        </w:r>
        <w:r>
          <w:fldChar w:fldCharType="begin"/>
        </w:r>
        <w:r>
          <w:instrText xml:space="preserve"> STYLEREF  "Überschrift 1"  \* MERGEFORMAT </w:instrText>
        </w:r>
        <w:r>
          <w:fldChar w:fldCharType="separate"/>
        </w:r>
        <w:r w:rsidR="00EB6453">
          <w:rPr>
            <w:b/>
            <w:bCs/>
            <w:noProof/>
          </w:rPr>
          <w:t>Fehler! Verwenden Sie die Registerkarte 'Start', um Überschrift 1 dem Text zuzuweisen, der hier angezeigt werden soll.</w:t>
        </w:r>
        <w:r>
          <w:rPr>
            <w:noProof/>
          </w:rPr>
          <w:fldChar w:fldCharType="end"/>
        </w:r>
        <w:r>
          <w:rPr>
            <w:noProof/>
          </w:rPr>
          <w:ptab w:relativeTo="margin" w:alignment="right" w:leader="none"/>
        </w:r>
        <w:r w:rsidRPr="00413732">
          <w:rPr>
            <w:sz w:val="20"/>
            <w:szCs w:val="20"/>
          </w:rPr>
          <w:fldChar w:fldCharType="begin"/>
        </w:r>
        <w:r w:rsidRPr="00413732">
          <w:rPr>
            <w:sz w:val="20"/>
            <w:szCs w:val="20"/>
          </w:rPr>
          <w:instrText xml:space="preserve"> PAGE  \* Arabic  \* MERGEFORMAT </w:instrText>
        </w:r>
        <w:r w:rsidRPr="00413732">
          <w:rPr>
            <w:sz w:val="20"/>
            <w:szCs w:val="20"/>
          </w:rPr>
          <w:fldChar w:fldCharType="separate"/>
        </w:r>
        <w:r w:rsidR="00EB6453">
          <w:rPr>
            <w:noProof/>
            <w:sz w:val="20"/>
            <w:szCs w:val="20"/>
          </w:rPr>
          <w:t>3</w:t>
        </w:r>
        <w:r w:rsidRPr="00413732">
          <w:rPr>
            <w:sz w:val="20"/>
            <w:szCs w:val="20"/>
          </w:rPr>
          <w:fldChar w:fldCharType="end"/>
        </w:r>
        <w:r w:rsidRPr="00413732">
          <w:rPr>
            <w:rFonts w:cs="Arial"/>
            <w:sz w:val="20"/>
            <w:szCs w:val="20"/>
          </w:rPr>
          <w:t xml:space="preserve"> </w:t>
        </w:r>
      </w:p>
    </w:sdtContent>
  </w:sdt>
  <w:p w:rsidR="00E16329" w:rsidRPr="00413732" w:rsidRDefault="00415759" w:rsidP="00846800">
    <w:pPr>
      <w:pStyle w:val="Kopfzeile"/>
      <w:rPr>
        <w:sz w:val="20"/>
        <w:szCs w:val="20"/>
      </w:rPr>
    </w:pPr>
    <w:r w:rsidRPr="00413732">
      <w:rPr>
        <w:noProof/>
        <w:sz w:val="20"/>
        <w:szCs w:val="20"/>
        <w:lang w:eastAsia="de-DE"/>
      </w:rPr>
      <mc:AlternateContent>
        <mc:Choice Requires="wps">
          <w:drawing>
            <wp:anchor distT="0" distB="0" distL="114300" distR="114300" simplePos="0" relativeHeight="251659264" behindDoc="0" locked="0" layoutInCell="1" allowOverlap="1" wp14:anchorId="101F7C18" wp14:editId="22E85786">
              <wp:simplePos x="0" y="0"/>
              <wp:positionH relativeFrom="column">
                <wp:posOffset>-42545</wp:posOffset>
              </wp:positionH>
              <wp:positionV relativeFrom="paragraph">
                <wp:posOffset>38735</wp:posOffset>
              </wp:positionV>
              <wp:extent cx="5867400" cy="635"/>
              <wp:effectExtent l="9525" t="13970" r="9525" b="1397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4E7B6B" id="_x0000_t32" coordsize="21600,21600" o:spt="32" o:oned="t" path="m,l21600,21600e" filled="f">
              <v:path arrowok="t" fillok="f" o:connecttype="none"/>
              <o:lock v:ext="edit" shapetype="t"/>
            </v:shapetype>
            <v:shape id="AutoShape 9"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ubKAIAAEg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BxvlubKAIAAEgEAAAOAAAAAAAAAAAAAAAAAC4CAABkcnMvZTJvRG9j&#10;LnhtbFBLAQItABQABgAIAAAAIQD/bGuE2wAAAAYBAAAPAAAAAAAAAAAAAAAAAIIEAABkcnMvZG93&#10;bnJldi54bWxQSwUGAAAAAAQABADzAAAAigUAAAAA&#10;"/>
          </w:pict>
        </mc:Fallback>
      </mc:AlternateContent>
    </w:r>
  </w:p>
  <w:p w:rsidR="00E16329" w:rsidRPr="00846800" w:rsidRDefault="001623AD" w:rsidP="0084680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1623AD"/>
    <w:rsid w:val="0026011C"/>
    <w:rsid w:val="00282AC8"/>
    <w:rsid w:val="002E4FDF"/>
    <w:rsid w:val="00305CE6"/>
    <w:rsid w:val="003526C2"/>
    <w:rsid w:val="00413732"/>
    <w:rsid w:val="00415759"/>
    <w:rsid w:val="00493C20"/>
    <w:rsid w:val="004E374E"/>
    <w:rsid w:val="005A6580"/>
    <w:rsid w:val="005B7623"/>
    <w:rsid w:val="0061061B"/>
    <w:rsid w:val="006F523C"/>
    <w:rsid w:val="006F6BA1"/>
    <w:rsid w:val="007531F2"/>
    <w:rsid w:val="0082061E"/>
    <w:rsid w:val="00937DB8"/>
    <w:rsid w:val="00A60F28"/>
    <w:rsid w:val="00AD4CA6"/>
    <w:rsid w:val="00B05D8F"/>
    <w:rsid w:val="00B2567D"/>
    <w:rsid w:val="00B8135D"/>
    <w:rsid w:val="00BF1AAC"/>
    <w:rsid w:val="00C869F5"/>
    <w:rsid w:val="00DD3538"/>
    <w:rsid w:val="00EB6453"/>
    <w:rsid w:val="00F96166"/>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 w:type="table" w:styleId="Tabellenraster">
    <w:name w:val="Table Grid"/>
    <w:basedOn w:val="NormaleTabelle"/>
    <w:uiPriority w:val="59"/>
    <w:rsid w:val="006F6BA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13732"/>
    <w:pPr>
      <w:tabs>
        <w:tab w:val="center" w:pos="4536"/>
        <w:tab w:val="right" w:pos="9072"/>
      </w:tabs>
      <w:spacing w:after="0" w:line="240" w:lineRule="auto"/>
      <w:jc w:val="both"/>
    </w:pPr>
    <w:rPr>
      <w:rFonts w:ascii="Cambria" w:hAnsi="Cambria"/>
      <w:color w:val="1D1B11"/>
    </w:rPr>
  </w:style>
  <w:style w:type="character" w:customStyle="1" w:styleId="KopfzeileZchn">
    <w:name w:val="Kopfzeile Zchn"/>
    <w:basedOn w:val="Absatz-Standardschriftart"/>
    <w:link w:val="Kopfzeile"/>
    <w:uiPriority w:val="99"/>
    <w:rsid w:val="00413732"/>
    <w:rPr>
      <w:rFonts w:ascii="Cambria" w:hAnsi="Cambria"/>
      <w:color w:val="1D1B11"/>
    </w:rPr>
  </w:style>
  <w:style w:type="table" w:customStyle="1" w:styleId="Listentabelle3Akzent11">
    <w:name w:val="Listentabelle 3 – Akzent 11"/>
    <w:basedOn w:val="NormaleTabelle"/>
    <w:uiPriority w:val="48"/>
    <w:rsid w:val="003526C2"/>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Listentabelle3Akzent111">
    <w:name w:val="Listentabelle 3 – Akzent 111"/>
    <w:basedOn w:val="NormaleTabelle"/>
    <w:uiPriority w:val="48"/>
    <w:rsid w:val="00F96166"/>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Tabellenraster1">
    <w:name w:val="Tabellenraster1"/>
    <w:basedOn w:val="NormaleTabelle"/>
    <w:next w:val="Tabellenraster"/>
    <w:uiPriority w:val="59"/>
    <w:rsid w:val="00AD4CA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ntabelle3Akzent112">
    <w:name w:val="Listentabelle 3 – Akzent 112"/>
    <w:basedOn w:val="NormaleTabelle"/>
    <w:uiPriority w:val="48"/>
    <w:rsid w:val="00415759"/>
    <w:pPr>
      <w:spacing w:after="0" w:line="240" w:lineRule="auto"/>
      <w:jc w:val="both"/>
    </w:p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microsoft.com/office/2007/relationships/hdphoto" Target="media/hdphoto3.wdp"/><Relationship Id="rId17" Type="http://schemas.microsoft.com/office/2007/relationships/hdphoto" Target="media/hdphoto5.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microsoft.com/office/2007/relationships/hdphoto" Target="media/hdphoto6.wdp"/><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1.xml"/><Relationship Id="rId10" Type="http://schemas.microsoft.com/office/2007/relationships/hdphoto" Target="media/hdphoto2.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microsoft.com/office/2007/relationships/hdphoto" Target="media/hdphoto7.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
    <b:Tag>Hec10</b:Tag>
    <b:SourceType>Book</b:SourceType>
    <b:Guid>{659AD4ED-E97E-4D1E-BE50-983724F9B090}</b:Guid>
    <b:Title>Der Kinder Brockhaus Experimente: Den Naturwissenschaften auf der Spur</b:Title>
    <b:Year>2010</b:Year>
    <b:City>Gütersloh, München</b:City>
    <b:Publisher>F.A. Brockhaus</b:Publisher>
    <b:Author>
      <b:Author>
        <b:NameList>
          <b:Person>
            <b:Last>Hecker</b:Last>
            <b:First>Joachim</b:First>
          </b:Person>
        </b:NameList>
      </b:Author>
    </b:Author>
    <b:RefOrder>1</b:RefOrder>
  </b:Source>
  <b:Source>
    <b:Tag>Platzhalter1</b:Tag>
    <b:SourceType>Book</b:SourceType>
    <b:Guid>{A1A83DDC-5C6D-43ED-ABCC-8DAF88714A65}</b:Guid>
    <b:Title>365 Experimente für jeden Tag</b:Title>
    <b:Year>2010</b:Year>
    <b:City>Kempen</b:City>
    <b:Publisher>moses</b:Publisher>
    <b:Author>
      <b:Author>
        <b:NameList>
          <b:Person>
            <b:Last>van Saan</b:Last>
            <b:First>A.</b:First>
          </b:Person>
        </b:NameList>
      </b:Author>
    </b:Author>
    <b:RefOrder>3</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2</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4</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6</b:RefOrder>
  </b:Source>
</b:Sources>
</file>

<file path=customXml/itemProps1.xml><?xml version="1.0" encoding="utf-8"?>
<ds:datastoreItem xmlns:ds="http://schemas.openxmlformats.org/officeDocument/2006/customXml" ds:itemID="{8F5617DE-B3C1-4D17-8847-1FA5D000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3631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4</cp:revision>
  <cp:lastPrinted>2017-10-05T17:25:00Z</cp:lastPrinted>
  <dcterms:created xsi:type="dcterms:W3CDTF">2017-10-05T12:37:00Z</dcterms:created>
  <dcterms:modified xsi:type="dcterms:W3CDTF">2017-10-05T17:25:00Z</dcterms:modified>
</cp:coreProperties>
</file>