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142" w:rsidRPr="00FC2142" w:rsidRDefault="00FC2142" w:rsidP="00FC2142">
      <w:pPr>
        <w:pStyle w:val="berschrift3"/>
        <w:rPr>
          <w:rFonts w:ascii="Arial" w:hAnsi="Arial" w:cs="Arial"/>
          <w:b/>
          <w:color w:val="auto"/>
        </w:rPr>
      </w:pPr>
      <w:bookmarkStart w:id="0" w:name="_Toc81813921"/>
      <w:r w:rsidRPr="00FC2142">
        <w:rPr>
          <w:rFonts w:ascii="Arial" w:hAnsi="Arial" w:cs="Arial"/>
          <w:b/>
          <w:color w:val="auto"/>
        </w:rPr>
        <w:t>Versuchsanleitung: Lichtstreuung</w:t>
      </w:r>
      <w:bookmarkEnd w:id="0"/>
    </w:p>
    <w:p w:rsidR="002A3886" w:rsidRDefault="002A3886" w:rsidP="00FC214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2142" w:rsidTr="003F61EC">
        <w:tc>
          <w:tcPr>
            <w:tcW w:w="4531" w:type="dxa"/>
          </w:tcPr>
          <w:p w:rsidR="00FC2142" w:rsidRPr="008F0709" w:rsidRDefault="00FC2142" w:rsidP="003F61EC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Geräte:</w:t>
            </w:r>
          </w:p>
        </w:tc>
        <w:tc>
          <w:tcPr>
            <w:tcW w:w="4531" w:type="dxa"/>
          </w:tcPr>
          <w:p w:rsidR="00FC2142" w:rsidRPr="008F0709" w:rsidRDefault="00FC2142" w:rsidP="003F61EC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8F070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Chemikalien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/Proben:</w:t>
            </w:r>
          </w:p>
        </w:tc>
      </w:tr>
      <w:tr w:rsidR="00FC2142" w:rsidTr="003F61EC">
        <w:tc>
          <w:tcPr>
            <w:tcW w:w="4531" w:type="dxa"/>
          </w:tcPr>
          <w:p w:rsidR="00FC2142" w:rsidRDefault="00FC2142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Stativmaterial</w:t>
            </w:r>
          </w:p>
        </w:tc>
        <w:tc>
          <w:tcPr>
            <w:tcW w:w="4531" w:type="dxa"/>
          </w:tcPr>
          <w:p w:rsidR="00FC2142" w:rsidRDefault="00FC2142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Transparentes Holz </w:t>
            </w:r>
          </w:p>
        </w:tc>
      </w:tr>
      <w:tr w:rsidR="00FC2142" w:rsidTr="003F61EC">
        <w:tc>
          <w:tcPr>
            <w:tcW w:w="4531" w:type="dxa"/>
          </w:tcPr>
          <w:p w:rsidR="00FC2142" w:rsidRDefault="00FC2142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Laserpointer</w:t>
            </w:r>
          </w:p>
        </w:tc>
        <w:tc>
          <w:tcPr>
            <w:tcW w:w="4531" w:type="dxa"/>
          </w:tcPr>
          <w:p w:rsidR="00FC2142" w:rsidRDefault="00FC2142" w:rsidP="003F61E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2142" w:rsidRDefault="00FC2142" w:rsidP="00FC214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668D5" wp14:editId="4A00B42E">
                <wp:simplePos x="0" y="0"/>
                <wp:positionH relativeFrom="column">
                  <wp:posOffset>3326765</wp:posOffset>
                </wp:positionH>
                <wp:positionV relativeFrom="paragraph">
                  <wp:posOffset>2275205</wp:posOffset>
                </wp:positionV>
                <wp:extent cx="2971800" cy="635"/>
                <wp:effectExtent l="0" t="0" r="0" b="0"/>
                <wp:wrapSquare wrapText="bothSides"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C2142" w:rsidRPr="00995B78" w:rsidRDefault="00FC2142" w:rsidP="00FC2142">
                            <w:pPr>
                              <w:pStyle w:val="Beschriftung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bookmarkStart w:id="1" w:name="_Toc81662591"/>
                            <w:r w:rsidRPr="00995B78">
                              <w:rPr>
                                <w:rFonts w:ascii="Arial" w:hAnsi="Arial" w:cs="Arial"/>
                              </w:rPr>
                              <w:t>Abbildung</w:t>
                            </w:r>
                            <w:r w:rsidR="00B2721F">
                              <w:rPr>
                                <w:rFonts w:ascii="Arial" w:hAnsi="Arial" w:cs="Arial"/>
                              </w:rPr>
                              <w:t xml:space="preserve"> 1</w:t>
                            </w:r>
                            <w:r w:rsidRPr="00995B78">
                              <w:rPr>
                                <w:rFonts w:ascii="Arial" w:hAnsi="Arial" w:cs="Arial"/>
                              </w:rPr>
                              <w:t>: Versuchsaufbau zur Betrachtung der Lichtstreuung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5668D5" id="_x0000_t202" coordsize="21600,21600" o:spt="202" path="m,l,21600r21600,l21600,xe">
                <v:stroke joinstyle="miter"/>
                <v:path gradientshapeok="t" o:connecttype="rect"/>
              </v:shapetype>
              <v:shape id="Textfeld 86" o:spid="_x0000_s1026" type="#_x0000_t202" style="position:absolute;left:0;text-align:left;margin-left:261.95pt;margin-top:179.15pt;width:234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" stroked="f">
                <v:textbox style="mso-fit-shape-to-text:t" inset="0,0,0,0">
                  <w:txbxContent>
                    <w:p w:rsidR="00FC2142" w:rsidRPr="00995B78" w:rsidRDefault="00FC2142" w:rsidP="00FC2142">
                      <w:pPr>
                        <w:pStyle w:val="Beschriftung"/>
                        <w:rPr>
                          <w:rFonts w:ascii="Arial" w:hAnsi="Arial" w:cs="Arial"/>
                          <w:noProof/>
                        </w:rPr>
                      </w:pPr>
                      <w:bookmarkStart w:id="2" w:name="_Toc81662591"/>
                      <w:r w:rsidRPr="00995B78">
                        <w:rPr>
                          <w:rFonts w:ascii="Arial" w:hAnsi="Arial" w:cs="Arial"/>
                        </w:rPr>
                        <w:t>Abbildung</w:t>
                      </w:r>
                      <w:r w:rsidR="00B2721F">
                        <w:rPr>
                          <w:rFonts w:ascii="Arial" w:hAnsi="Arial" w:cs="Arial"/>
                        </w:rPr>
                        <w:t xml:space="preserve"> 1</w:t>
                      </w:r>
                      <w:r w:rsidRPr="00995B78">
                        <w:rPr>
                          <w:rFonts w:ascii="Arial" w:hAnsi="Arial" w:cs="Arial"/>
                        </w:rPr>
                        <w:t>: Versuchsaufbau zur Betrachtung der Lichtstreuung</w:t>
                      </w:r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80D2BD8" wp14:editId="4C57BCDC">
            <wp:simplePos x="0" y="0"/>
            <wp:positionH relativeFrom="column">
              <wp:posOffset>3326765</wp:posOffset>
            </wp:positionH>
            <wp:positionV relativeFrom="paragraph">
              <wp:posOffset>208280</wp:posOffset>
            </wp:positionV>
            <wp:extent cx="2971800" cy="2009775"/>
            <wp:effectExtent l="0" t="0" r="0" b="9525"/>
            <wp:wrapSquare wrapText="bothSides"/>
            <wp:docPr id="85" name="Grafik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 </w:t>
      </w:r>
    </w:p>
    <w:p w:rsidR="00FC2142" w:rsidRPr="00C309AF" w:rsidRDefault="00FC2142" w:rsidP="00FC2142">
      <w:pPr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C309AF">
        <w:rPr>
          <w:rFonts w:ascii="Arial" w:hAnsi="Arial" w:cs="Arial"/>
          <w:b/>
          <w:bCs/>
          <w:i/>
          <w:iCs/>
          <w:sz w:val="24"/>
          <w:szCs w:val="24"/>
        </w:rPr>
        <w:t>D</w:t>
      </w:r>
      <w:r>
        <w:rPr>
          <w:rFonts w:ascii="Arial" w:hAnsi="Arial" w:cs="Arial"/>
          <w:b/>
          <w:bCs/>
          <w:i/>
          <w:iCs/>
          <w:sz w:val="24"/>
          <w:szCs w:val="24"/>
        </w:rPr>
        <w:t>urchführung:</w:t>
      </w:r>
    </w:p>
    <w:p w:rsidR="00FC2142" w:rsidRDefault="00FC2142" w:rsidP="00FC2142">
      <w:pPr>
        <w:keepNext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zu untersuchende Probe wird in die Stativklemme eingespannt und ein Laserpointer mit einer weiteren Stativklemme </w:t>
      </w:r>
      <w:r w:rsidR="00B2721F">
        <w:rPr>
          <w:rFonts w:ascii="Arial" w:hAnsi="Arial" w:cs="Arial"/>
          <w:sz w:val="24"/>
          <w:szCs w:val="24"/>
        </w:rPr>
        <w:t>über dem transparenten Holze</w:t>
      </w:r>
      <w:r>
        <w:rPr>
          <w:rFonts w:ascii="Arial" w:hAnsi="Arial" w:cs="Arial"/>
          <w:sz w:val="24"/>
          <w:szCs w:val="24"/>
        </w:rPr>
        <w:t xml:space="preserve"> positioniert und das auf der Tischoberfläche erscheinende Streuungsbild betrachtet.  Anschließend wird die Holzprobe um 45° rotiert und das Streuungsbild erneut betrachtet. Dies kann noch zweimal wiederholt werden.</w:t>
      </w:r>
    </w:p>
    <w:p w:rsidR="00FC2142" w:rsidRDefault="00FC2142" w:rsidP="00FC2142">
      <w:pPr>
        <w:keepNext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Dieselbe Prozedur kann mit einer transparentem Holzprobe einer anderen Schnittrichtung durchgeführt werden.</w:t>
      </w:r>
    </w:p>
    <w:p w:rsidR="00FC2142" w:rsidRDefault="00FC2142" w:rsidP="00FC2142">
      <w:pPr>
        <w:keepNext/>
        <w:spacing w:line="360" w:lineRule="auto"/>
        <w:ind w:left="705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Bei transparentem Holzproben des Querschnitts sind unabhängig des Rotationswinkels dieselben kreisförmigen Streuungsbilder zu erkennen.</w:t>
      </w:r>
    </w:p>
    <w:p w:rsidR="00FC2142" w:rsidRDefault="00FC2142" w:rsidP="00FC2142">
      <w:pPr>
        <w:keepNext/>
        <w:spacing w:line="360" w:lineRule="auto"/>
        <w:ind w:left="705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Bei transparentem Holzproben des Radialschnitts ist das Streuungsbild stets eine orthogonale Gerade in Relation zur Faserrichtung.</w:t>
      </w:r>
    </w:p>
    <w:p w:rsidR="00FC2142" w:rsidRDefault="00FC2142" w:rsidP="00FC2142">
      <w:pPr>
        <w:pStyle w:val="Beschriftung"/>
        <w:jc w:val="left"/>
        <w:rPr>
          <w:rFonts w:ascii="Arial" w:hAnsi="Arial" w:cs="Arial"/>
          <w:b/>
          <w:bCs/>
          <w:sz w:val="24"/>
          <w:szCs w:val="24"/>
        </w:rPr>
      </w:pPr>
    </w:p>
    <w:p w:rsidR="00FC2142" w:rsidRDefault="00FC2142" w:rsidP="00FC2142">
      <w:pPr>
        <w:pStyle w:val="Beschriftung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Entsorgung: </w:t>
      </w:r>
    </w:p>
    <w:p w:rsidR="00FC2142" w:rsidRPr="00813BFF" w:rsidRDefault="00FC2142" w:rsidP="00FC21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Proben können nach dem Versuch aufbewahrt werden.</w:t>
      </w:r>
    </w:p>
    <w:p w:rsidR="00FC2142" w:rsidRPr="00EC5984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Aufgaben:</w:t>
      </w:r>
    </w:p>
    <w:p w:rsidR="00FC2142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  <w:r w:rsidRPr="001D088C">
        <w:rPr>
          <w:rFonts w:ascii="Arial" w:hAnsi="Arial" w:cs="Arial"/>
          <w:sz w:val="24"/>
          <w:szCs w:val="24"/>
          <w:u w:val="single"/>
        </w:rPr>
        <w:t>Beschreibe</w:t>
      </w:r>
      <w:r w:rsidRPr="001D088C">
        <w:rPr>
          <w:rFonts w:ascii="Arial" w:hAnsi="Arial" w:cs="Arial"/>
          <w:sz w:val="24"/>
          <w:szCs w:val="24"/>
        </w:rPr>
        <w:t xml:space="preserve"> den beobachteten (anisotropen) Effekt anhand der Zeichnung und unter Beachtung der Faserrichtung und dem dazu ausgerichtetem Laser.</w:t>
      </w:r>
    </w:p>
    <w:p w:rsidR="00FC2142" w:rsidRPr="00995B78" w:rsidRDefault="00FC2142" w:rsidP="00FC2142">
      <w:pPr>
        <w:spacing w:line="360" w:lineRule="auto"/>
        <w:rPr>
          <w:rFonts w:ascii="Arial" w:hAnsi="Arial" w:cs="Arial"/>
          <w:sz w:val="24"/>
          <w:szCs w:val="24"/>
        </w:rPr>
      </w:pPr>
      <w:r w:rsidRPr="00995B78">
        <w:rPr>
          <w:rFonts w:ascii="Arial" w:hAnsi="Arial" w:cs="Arial"/>
          <w:noProof/>
        </w:rPr>
        <w:drawing>
          <wp:inline distT="0" distB="0" distL="0" distR="0" wp14:anchorId="5CF51106" wp14:editId="409AE97F">
            <wp:extent cx="5760720" cy="3344545"/>
            <wp:effectExtent l="0" t="0" r="0" b="0"/>
            <wp:docPr id="143" name="Grafik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142" w:rsidRPr="00995B78" w:rsidRDefault="00FC2142" w:rsidP="00FC2142">
      <w:pPr>
        <w:pStyle w:val="Beschriftung"/>
        <w:jc w:val="left"/>
        <w:rPr>
          <w:rFonts w:ascii="Arial" w:hAnsi="Arial" w:cs="Arial"/>
          <w:sz w:val="24"/>
          <w:szCs w:val="24"/>
        </w:rPr>
      </w:pPr>
      <w:r w:rsidRPr="00995B78">
        <w:rPr>
          <w:rFonts w:ascii="Arial" w:hAnsi="Arial" w:cs="Arial"/>
        </w:rPr>
        <w:t xml:space="preserve"> </w:t>
      </w:r>
      <w:bookmarkStart w:id="2" w:name="_Toc81662592"/>
      <w:r w:rsidRPr="00995B78">
        <w:rPr>
          <w:rFonts w:ascii="Arial" w:hAnsi="Arial" w:cs="Arial"/>
        </w:rPr>
        <w:t>Abbildung</w:t>
      </w:r>
      <w:r w:rsidR="00B2721F">
        <w:rPr>
          <w:rFonts w:ascii="Arial" w:hAnsi="Arial" w:cs="Arial"/>
        </w:rPr>
        <w:t xml:space="preserve"> 2</w:t>
      </w:r>
      <w:r w:rsidRPr="00995B78">
        <w:rPr>
          <w:rFonts w:ascii="Arial" w:hAnsi="Arial" w:cs="Arial"/>
        </w:rPr>
        <w:t>: Lichtstreuung in Abhängigkeit der Faserrichtung nach Zhu et al. (2016)</w:t>
      </w:r>
      <w:bookmarkEnd w:id="2"/>
    </w:p>
    <w:p w:rsidR="00FC2142" w:rsidRPr="002C740D" w:rsidRDefault="00FC2142" w:rsidP="00FC214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keepNext/>
        <w:spacing w:line="360" w:lineRule="auto"/>
        <w:ind w:left="705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 xml:space="preserve">Bei transparentem Holzproben des Querschnitts (Fasern parallel zum Licht) sind unabhängig des Rotationswinkels dieselben kreisförmigen Streuungsbilder zu erkennen. </w:t>
      </w:r>
    </w:p>
    <w:p w:rsidR="00FC2142" w:rsidRDefault="00FC2142" w:rsidP="00FC2142">
      <w:pPr>
        <w:keepNext/>
        <w:spacing w:line="360" w:lineRule="auto"/>
        <w:ind w:left="705"/>
        <w:jc w:val="both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Bei transparentem Holzproben des Radialschnitts ist das Streuungsbild stets eine senkrechte Gerade in Relation zur Faserrichtung.</w:t>
      </w:r>
    </w:p>
    <w:p w:rsidR="00FC2142" w:rsidRDefault="00FC2142" w:rsidP="00FC2142">
      <w:pPr>
        <w:rPr>
          <w:rFonts w:ascii="Cambria" w:hAnsi="Cambria"/>
          <w:i/>
          <w:iCs/>
          <w:color w:val="000000" w:themeColor="text1"/>
          <w:sz w:val="18"/>
          <w:szCs w:val="18"/>
        </w:rPr>
      </w:pPr>
    </w:p>
    <w:p w:rsidR="00FC2142" w:rsidRDefault="00FC2142" w:rsidP="00FC2142">
      <w:pPr>
        <w:rPr>
          <w:rFonts w:ascii="Cambria" w:hAnsi="Cambria"/>
          <w:i/>
          <w:iCs/>
          <w:color w:val="000000" w:themeColor="text1"/>
          <w:sz w:val="18"/>
          <w:szCs w:val="18"/>
        </w:rPr>
      </w:pPr>
    </w:p>
    <w:p w:rsidR="00FC2142" w:rsidRDefault="00FC2142" w:rsidP="00FC2142">
      <w:pPr>
        <w:rPr>
          <w:rFonts w:ascii="Cambria" w:hAnsi="Cambria"/>
          <w:i/>
          <w:iCs/>
          <w:color w:val="000000" w:themeColor="text1"/>
          <w:sz w:val="18"/>
          <w:szCs w:val="18"/>
        </w:rPr>
      </w:pPr>
    </w:p>
    <w:p w:rsidR="00FC2142" w:rsidRDefault="00FC2142" w:rsidP="00FC2142">
      <w:pPr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rPr>
          <w:rFonts w:ascii="Arial" w:hAnsi="Arial" w:cs="Arial"/>
          <w:sz w:val="24"/>
          <w:szCs w:val="24"/>
        </w:rPr>
      </w:pPr>
    </w:p>
    <w:p w:rsidR="00FC2142" w:rsidRDefault="00FC2142" w:rsidP="00FC2142">
      <w:pPr>
        <w:rPr>
          <w:rFonts w:ascii="Arial" w:hAnsi="Arial" w:cs="Arial"/>
          <w:sz w:val="24"/>
          <w:szCs w:val="24"/>
        </w:rPr>
      </w:pPr>
    </w:p>
    <w:p w:rsidR="00FC2142" w:rsidRPr="00E73D68" w:rsidRDefault="00FC2142" w:rsidP="00FC2142">
      <w:pPr>
        <w:pStyle w:val="berschrift1"/>
        <w:spacing w:line="360" w:lineRule="auto"/>
        <w:rPr>
          <w:rFonts w:ascii="Arial" w:hAnsi="Arial" w:cs="Arial"/>
          <w:color w:val="auto"/>
        </w:rPr>
      </w:pPr>
      <w:bookmarkStart w:id="3" w:name="_Toc81813923"/>
      <w:r w:rsidRPr="00E73D68">
        <w:rPr>
          <w:rFonts w:ascii="Arial" w:hAnsi="Arial" w:cs="Arial"/>
          <w:color w:val="auto"/>
        </w:rPr>
        <w:lastRenderedPageBreak/>
        <w:t>Literaturverzeichnis</w:t>
      </w:r>
      <w:bookmarkEnd w:id="3"/>
    </w:p>
    <w:p w:rsidR="00FC2142" w:rsidRPr="003A2BCA" w:rsidRDefault="00FC2142" w:rsidP="00FC2142">
      <w:pPr>
        <w:autoSpaceDE w:val="0"/>
        <w:autoSpaceDN w:val="0"/>
        <w:adjustRightInd w:val="0"/>
        <w:spacing w:before="160" w:after="0" w:line="360" w:lineRule="auto"/>
        <w:jc w:val="both"/>
        <w:rPr>
          <w:rFonts w:ascii="Arial" w:hAnsi="Arial" w:cs="Arial"/>
          <w:lang w:val="en-GB"/>
        </w:rPr>
      </w:pPr>
      <w:r w:rsidRPr="00E73D68">
        <w:rPr>
          <w:rFonts w:ascii="Arial" w:hAnsi="Arial" w:cs="Arial"/>
        </w:rPr>
        <w:t xml:space="preserve">Fengel, D. &amp; Wegener, G. (1989). </w:t>
      </w:r>
      <w:r w:rsidRPr="003A2BCA">
        <w:rPr>
          <w:rFonts w:ascii="Arial" w:hAnsi="Arial" w:cs="Arial"/>
          <w:lang w:val="en-GB"/>
        </w:rPr>
        <w:t xml:space="preserve">Wood - chemistry, </w:t>
      </w:r>
      <w:proofErr w:type="spellStart"/>
      <w:r w:rsidRPr="003A2BCA">
        <w:rPr>
          <w:rFonts w:ascii="Arial" w:hAnsi="Arial" w:cs="Arial"/>
          <w:lang w:val="en-GB"/>
        </w:rPr>
        <w:t>ultrastrucutre</w:t>
      </w:r>
      <w:proofErr w:type="spellEnd"/>
      <w:r w:rsidRPr="003A2BCA">
        <w:rPr>
          <w:rFonts w:ascii="Arial" w:hAnsi="Arial" w:cs="Arial"/>
          <w:lang w:val="en-GB"/>
        </w:rPr>
        <w:t xml:space="preserve">, reactions. Walter de </w:t>
      </w:r>
      <w:proofErr w:type="spellStart"/>
      <w:r w:rsidRPr="003A2BCA">
        <w:rPr>
          <w:rFonts w:ascii="Arial" w:hAnsi="Arial" w:cs="Arial"/>
          <w:lang w:val="en-GB"/>
        </w:rPr>
        <w:t>Gryter</w:t>
      </w:r>
      <w:proofErr w:type="spellEnd"/>
      <w:r w:rsidRPr="003A2BCA">
        <w:rPr>
          <w:rFonts w:ascii="Arial" w:hAnsi="Arial" w:cs="Arial"/>
          <w:lang w:val="en-GB"/>
        </w:rPr>
        <w:t>, New York, 1989.</w:t>
      </w:r>
    </w:p>
    <w:p w:rsidR="00FC2142" w:rsidRPr="00E73D68" w:rsidRDefault="00FC2142" w:rsidP="00FC2142">
      <w:pPr>
        <w:spacing w:before="160" w:line="360" w:lineRule="auto"/>
        <w:jc w:val="both"/>
        <w:rPr>
          <w:rFonts w:ascii="Arial" w:hAnsi="Arial" w:cs="Arial"/>
        </w:rPr>
      </w:pPr>
      <w:r w:rsidRPr="003A2BCA">
        <w:rPr>
          <w:rFonts w:ascii="Arial" w:hAnsi="Arial" w:cs="Arial"/>
          <w:lang w:val="en-GB"/>
        </w:rPr>
        <w:t xml:space="preserve">Gibson, L. J. (2012). The hierarchical structure and mechanics of plant materials. </w:t>
      </w:r>
      <w:r w:rsidRPr="00E73D68">
        <w:rPr>
          <w:rFonts w:ascii="Arial" w:hAnsi="Arial" w:cs="Arial"/>
        </w:rPr>
        <w:t>Journal of the royal society interface, 9(76), 2749-2766.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</w:rPr>
      </w:pPr>
      <w:r w:rsidRPr="003A2BCA">
        <w:rPr>
          <w:rFonts w:ascii="Arial" w:hAnsi="Arial" w:cs="Arial"/>
        </w:rPr>
        <w:t xml:space="preserve">Kollmann, F. (1981). Neues zur Anisotropie der Schwindung und Quellung von Holz. Holz als </w:t>
      </w:r>
      <w:proofErr w:type="spellStart"/>
      <w:r w:rsidRPr="003A2BCA">
        <w:rPr>
          <w:rFonts w:ascii="Arial" w:hAnsi="Arial" w:cs="Arial"/>
        </w:rPr>
        <w:t>Roh-und</w:t>
      </w:r>
      <w:proofErr w:type="spellEnd"/>
      <w:r w:rsidRPr="003A2BCA">
        <w:rPr>
          <w:rFonts w:ascii="Arial" w:hAnsi="Arial" w:cs="Arial"/>
        </w:rPr>
        <w:t xml:space="preserve"> Werkstoff, 39(9), 357-360.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</w:rPr>
        <w:t xml:space="preserve">Li, Y., Fu, Q., </w:t>
      </w:r>
      <w:proofErr w:type="spellStart"/>
      <w:r w:rsidRPr="003A2BCA">
        <w:rPr>
          <w:rFonts w:ascii="Arial" w:hAnsi="Arial" w:cs="Arial"/>
        </w:rPr>
        <w:t>Yu</w:t>
      </w:r>
      <w:proofErr w:type="spellEnd"/>
      <w:r w:rsidRPr="003A2BCA">
        <w:rPr>
          <w:rFonts w:ascii="Arial" w:hAnsi="Arial" w:cs="Arial"/>
        </w:rPr>
        <w:t xml:space="preserve">, S., Yan, M., &amp; </w:t>
      </w:r>
      <w:proofErr w:type="spellStart"/>
      <w:r w:rsidRPr="003A2BCA">
        <w:rPr>
          <w:rFonts w:ascii="Arial" w:hAnsi="Arial" w:cs="Arial"/>
        </w:rPr>
        <w:t>Berglund</w:t>
      </w:r>
      <w:proofErr w:type="spellEnd"/>
      <w:r w:rsidRPr="003A2BCA">
        <w:rPr>
          <w:rFonts w:ascii="Arial" w:hAnsi="Arial" w:cs="Arial"/>
        </w:rPr>
        <w:t xml:space="preserve">, L. (2016). </w:t>
      </w:r>
      <w:r w:rsidRPr="003A2BCA">
        <w:rPr>
          <w:rFonts w:ascii="Arial" w:hAnsi="Arial" w:cs="Arial"/>
          <w:lang w:val="en-GB"/>
        </w:rPr>
        <w:t xml:space="preserve">Optically transparent wood from a </w:t>
      </w:r>
      <w:proofErr w:type="spellStart"/>
      <w:r w:rsidRPr="003A2BCA">
        <w:rPr>
          <w:rFonts w:ascii="Arial" w:hAnsi="Arial" w:cs="Arial"/>
          <w:lang w:val="en-GB"/>
        </w:rPr>
        <w:t>nanoporous</w:t>
      </w:r>
      <w:proofErr w:type="spellEnd"/>
      <w:r w:rsidRPr="003A2BCA">
        <w:rPr>
          <w:rFonts w:ascii="Arial" w:hAnsi="Arial" w:cs="Arial"/>
          <w:lang w:val="en-GB"/>
        </w:rPr>
        <w:t xml:space="preserve"> cellulosic template: combining functional and structural performance. </w:t>
      </w:r>
      <w:r w:rsidRPr="003A2BCA">
        <w:rPr>
          <w:rFonts w:ascii="Arial" w:hAnsi="Arial" w:cs="Arial"/>
          <w:i/>
          <w:iCs/>
          <w:lang w:val="en-GB"/>
        </w:rPr>
        <w:t>Biomacromolecules</w:t>
      </w:r>
      <w:r w:rsidRPr="003A2BCA">
        <w:rPr>
          <w:rFonts w:ascii="Arial" w:hAnsi="Arial" w:cs="Arial"/>
          <w:lang w:val="en-GB"/>
        </w:rPr>
        <w:t xml:space="preserve">, </w:t>
      </w:r>
      <w:r w:rsidRPr="003A2BCA">
        <w:rPr>
          <w:rFonts w:ascii="Arial" w:hAnsi="Arial" w:cs="Arial"/>
          <w:i/>
          <w:iCs/>
          <w:lang w:val="en-GB"/>
        </w:rPr>
        <w:t>17</w:t>
      </w:r>
      <w:r w:rsidRPr="003A2BCA">
        <w:rPr>
          <w:rFonts w:ascii="Arial" w:hAnsi="Arial" w:cs="Arial"/>
          <w:lang w:val="en-GB"/>
        </w:rPr>
        <w:t>(4), 1358-1364.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  <w:lang w:val="en-US"/>
        </w:rPr>
        <w:t xml:space="preserve">Li, Y., Fu, Q., Rojas, R., Yan, M., </w:t>
      </w:r>
      <w:proofErr w:type="spellStart"/>
      <w:r w:rsidRPr="003A2BCA">
        <w:rPr>
          <w:rFonts w:ascii="Arial" w:hAnsi="Arial" w:cs="Arial"/>
          <w:lang w:val="en-US"/>
        </w:rPr>
        <w:t>Lawoko</w:t>
      </w:r>
      <w:proofErr w:type="spellEnd"/>
      <w:r w:rsidRPr="003A2BCA">
        <w:rPr>
          <w:rFonts w:ascii="Arial" w:hAnsi="Arial" w:cs="Arial"/>
          <w:lang w:val="en-US"/>
        </w:rPr>
        <w:t xml:space="preserve">, M., &amp; Berglund, L. (2017). </w:t>
      </w:r>
      <w:r w:rsidRPr="003A2BCA">
        <w:rPr>
          <w:rFonts w:ascii="Arial" w:hAnsi="Arial" w:cs="Arial"/>
          <w:lang w:val="en-GB"/>
        </w:rPr>
        <w:t>Lignin</w:t>
      </w:r>
      <w:r w:rsidRPr="003A2BCA">
        <w:rPr>
          <w:rFonts w:ascii="Cambria Math" w:hAnsi="Cambria Math" w:cs="Cambria Math"/>
          <w:lang w:val="en-GB"/>
        </w:rPr>
        <w:t>‐</w:t>
      </w:r>
      <w:r w:rsidRPr="003A2BCA">
        <w:rPr>
          <w:rFonts w:ascii="Arial" w:hAnsi="Arial" w:cs="Arial"/>
          <w:lang w:val="en-GB"/>
        </w:rPr>
        <w:t xml:space="preserve">retaining transparent wood. </w:t>
      </w:r>
      <w:proofErr w:type="spellStart"/>
      <w:r w:rsidRPr="003A2BCA">
        <w:rPr>
          <w:rFonts w:ascii="Arial" w:hAnsi="Arial" w:cs="Arial"/>
          <w:i/>
          <w:iCs/>
          <w:lang w:val="en-GB"/>
        </w:rPr>
        <w:t>ChemSusChem</w:t>
      </w:r>
      <w:proofErr w:type="spellEnd"/>
      <w:r w:rsidRPr="003A2BCA">
        <w:rPr>
          <w:rFonts w:ascii="Arial" w:hAnsi="Arial" w:cs="Arial"/>
          <w:lang w:val="en-GB"/>
        </w:rPr>
        <w:t xml:space="preserve">, </w:t>
      </w:r>
      <w:r w:rsidRPr="003A2BCA">
        <w:rPr>
          <w:rFonts w:ascii="Arial" w:hAnsi="Arial" w:cs="Arial"/>
          <w:i/>
          <w:iCs/>
          <w:lang w:val="en-GB"/>
        </w:rPr>
        <w:t>10</w:t>
      </w:r>
      <w:r w:rsidRPr="003A2BCA">
        <w:rPr>
          <w:rFonts w:ascii="Arial" w:hAnsi="Arial" w:cs="Arial"/>
          <w:lang w:val="en-GB"/>
        </w:rPr>
        <w:t>(17), 3445.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  <w:lang w:val="en-GB"/>
        </w:rPr>
        <w:t xml:space="preserve">Li, Y., </w:t>
      </w:r>
      <w:proofErr w:type="spellStart"/>
      <w:r w:rsidRPr="003A2BCA">
        <w:rPr>
          <w:rFonts w:ascii="Arial" w:hAnsi="Arial" w:cs="Arial"/>
          <w:lang w:val="en-GB"/>
        </w:rPr>
        <w:t>Vasileva</w:t>
      </w:r>
      <w:proofErr w:type="spellEnd"/>
      <w:r w:rsidRPr="003A2BCA">
        <w:rPr>
          <w:rFonts w:ascii="Arial" w:hAnsi="Arial" w:cs="Arial"/>
          <w:lang w:val="en-GB"/>
        </w:rPr>
        <w:t xml:space="preserve">, E., </w:t>
      </w:r>
      <w:proofErr w:type="spellStart"/>
      <w:r w:rsidRPr="003A2BCA">
        <w:rPr>
          <w:rFonts w:ascii="Arial" w:hAnsi="Arial" w:cs="Arial"/>
          <w:lang w:val="en-GB"/>
        </w:rPr>
        <w:t>Sychugov</w:t>
      </w:r>
      <w:proofErr w:type="spellEnd"/>
      <w:r w:rsidRPr="003A2BCA">
        <w:rPr>
          <w:rFonts w:ascii="Arial" w:hAnsi="Arial" w:cs="Arial"/>
          <w:lang w:val="en-GB"/>
        </w:rPr>
        <w:t>, I., Popov, S., &amp; Berglund, L. (2018). Optically transparent wood: Recent progress, opportunities, and challenges. Advanced Optical Materials, 6(14), 1800059.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GB"/>
        </w:rPr>
      </w:pPr>
      <w:r w:rsidRPr="003A2BCA">
        <w:rPr>
          <w:rFonts w:ascii="Arial" w:hAnsi="Arial" w:cs="Arial"/>
        </w:rPr>
        <w:t xml:space="preserve">Li, Y., Cheng, M., </w:t>
      </w:r>
      <w:proofErr w:type="spellStart"/>
      <w:r w:rsidRPr="003A2BCA">
        <w:rPr>
          <w:rFonts w:ascii="Arial" w:hAnsi="Arial" w:cs="Arial"/>
        </w:rPr>
        <w:t>Jungstedt</w:t>
      </w:r>
      <w:proofErr w:type="spellEnd"/>
      <w:r w:rsidRPr="003A2BCA">
        <w:rPr>
          <w:rFonts w:ascii="Arial" w:hAnsi="Arial" w:cs="Arial"/>
        </w:rPr>
        <w:t xml:space="preserve">, E., </w:t>
      </w:r>
      <w:proofErr w:type="spellStart"/>
      <w:r w:rsidRPr="003A2BCA">
        <w:rPr>
          <w:rFonts w:ascii="Arial" w:hAnsi="Arial" w:cs="Arial"/>
        </w:rPr>
        <w:t>Xu</w:t>
      </w:r>
      <w:proofErr w:type="spellEnd"/>
      <w:r w:rsidRPr="003A2BCA">
        <w:rPr>
          <w:rFonts w:ascii="Arial" w:hAnsi="Arial" w:cs="Arial"/>
        </w:rPr>
        <w:t xml:space="preserve">, B., Sun, L., &amp; </w:t>
      </w:r>
      <w:proofErr w:type="spellStart"/>
      <w:r w:rsidRPr="003A2BCA">
        <w:rPr>
          <w:rFonts w:ascii="Arial" w:hAnsi="Arial" w:cs="Arial"/>
        </w:rPr>
        <w:t>Berglund</w:t>
      </w:r>
      <w:proofErr w:type="spellEnd"/>
      <w:r w:rsidRPr="003A2BCA">
        <w:rPr>
          <w:rFonts w:ascii="Arial" w:hAnsi="Arial" w:cs="Arial"/>
        </w:rPr>
        <w:t xml:space="preserve">, L. (2019). </w:t>
      </w:r>
      <w:r w:rsidRPr="003A2BCA">
        <w:rPr>
          <w:rFonts w:ascii="Arial" w:hAnsi="Arial" w:cs="Arial"/>
          <w:lang w:val="en-GB"/>
        </w:rPr>
        <w:t>Optically transparent wood substrate for perovskite solar cells. ACS sustainable chemistry &amp; engineering, 7(6), 6061-6067.</w:t>
      </w:r>
    </w:p>
    <w:p w:rsidR="00FC2142" w:rsidRPr="00E73D68" w:rsidRDefault="00FC2142" w:rsidP="00FC2142">
      <w:pPr>
        <w:spacing w:before="160" w:line="360" w:lineRule="auto"/>
        <w:jc w:val="both"/>
        <w:rPr>
          <w:rFonts w:ascii="Arial" w:hAnsi="Arial" w:cs="Arial"/>
        </w:rPr>
      </w:pPr>
      <w:proofErr w:type="spellStart"/>
      <w:r w:rsidRPr="00B2721F">
        <w:rPr>
          <w:rFonts w:ascii="Arial" w:hAnsi="Arial" w:cs="Arial"/>
        </w:rPr>
        <w:t>Montanari</w:t>
      </w:r>
      <w:proofErr w:type="spellEnd"/>
      <w:r w:rsidRPr="00B2721F">
        <w:rPr>
          <w:rFonts w:ascii="Arial" w:hAnsi="Arial" w:cs="Arial"/>
        </w:rPr>
        <w:t xml:space="preserve">, C., Li, Y., Chen, H., Yan, M., &amp; </w:t>
      </w:r>
      <w:proofErr w:type="spellStart"/>
      <w:r w:rsidRPr="00B2721F">
        <w:rPr>
          <w:rFonts w:ascii="Arial" w:hAnsi="Arial" w:cs="Arial"/>
        </w:rPr>
        <w:t>Berglund</w:t>
      </w:r>
      <w:proofErr w:type="spellEnd"/>
      <w:r w:rsidRPr="00B2721F">
        <w:rPr>
          <w:rFonts w:ascii="Arial" w:hAnsi="Arial" w:cs="Arial"/>
        </w:rPr>
        <w:t xml:space="preserve">, L. A. (2019). </w:t>
      </w:r>
      <w:r w:rsidRPr="003A2BCA">
        <w:rPr>
          <w:rFonts w:ascii="Arial" w:hAnsi="Arial" w:cs="Arial"/>
          <w:lang w:val="en-GB"/>
        </w:rPr>
        <w:t xml:space="preserve">Transparent wood for thermal energy storage and reversible optical transmittance. </w:t>
      </w:r>
      <w:r w:rsidRPr="00E73D68">
        <w:rPr>
          <w:rFonts w:ascii="Arial" w:hAnsi="Arial" w:cs="Arial"/>
        </w:rPr>
        <w:t>ACS applied materials &amp; interfaces, 11(22), 20465-20472.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</w:rPr>
      </w:pPr>
      <w:r w:rsidRPr="003A2BCA">
        <w:rPr>
          <w:rFonts w:ascii="Arial" w:hAnsi="Arial" w:cs="Arial"/>
        </w:rPr>
        <w:t>Rosenthal, M. (2012). Der Zellwandbau von Nadelholztracheiden: Die submikroskopische Struktur des Holzes vor dem Hintergrund holztechnologischer Fragestellungen.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US"/>
        </w:rPr>
      </w:pPr>
      <w:r w:rsidRPr="003A2BCA">
        <w:rPr>
          <w:rFonts w:ascii="Arial" w:hAnsi="Arial" w:cs="Arial"/>
          <w:lang w:val="en-US"/>
        </w:rPr>
        <w:t xml:space="preserve">D. </w:t>
      </w:r>
      <w:proofErr w:type="spellStart"/>
      <w:r w:rsidRPr="003A2BCA">
        <w:rPr>
          <w:rFonts w:ascii="Arial" w:hAnsi="Arial" w:cs="Arial"/>
          <w:lang w:val="en-US"/>
        </w:rPr>
        <w:t>Fengel</w:t>
      </w:r>
      <w:proofErr w:type="spellEnd"/>
      <w:r w:rsidRPr="003A2BCA">
        <w:rPr>
          <w:rFonts w:ascii="Arial" w:hAnsi="Arial" w:cs="Arial"/>
          <w:lang w:val="en-US"/>
        </w:rPr>
        <w:t xml:space="preserve"> &amp; G. Wegener (1989). Wood - chemistry, </w:t>
      </w:r>
      <w:proofErr w:type="spellStart"/>
      <w:r w:rsidRPr="003A2BCA">
        <w:rPr>
          <w:rFonts w:ascii="Arial" w:hAnsi="Arial" w:cs="Arial"/>
          <w:lang w:val="en-US"/>
        </w:rPr>
        <w:t>ultrastrucutre</w:t>
      </w:r>
      <w:proofErr w:type="spellEnd"/>
      <w:r w:rsidRPr="003A2BCA">
        <w:rPr>
          <w:rFonts w:ascii="Arial" w:hAnsi="Arial" w:cs="Arial"/>
          <w:lang w:val="en-US"/>
        </w:rPr>
        <w:t xml:space="preserve">, reactions. Walter de </w:t>
      </w:r>
      <w:proofErr w:type="spellStart"/>
      <w:r w:rsidRPr="003A2BCA">
        <w:rPr>
          <w:rFonts w:ascii="Arial" w:hAnsi="Arial" w:cs="Arial"/>
          <w:lang w:val="en-US"/>
        </w:rPr>
        <w:t>Gryter</w:t>
      </w:r>
      <w:proofErr w:type="spellEnd"/>
      <w:r w:rsidRPr="003A2BCA">
        <w:rPr>
          <w:rFonts w:ascii="Arial" w:hAnsi="Arial" w:cs="Arial"/>
          <w:lang w:val="en-US"/>
        </w:rPr>
        <w:t>, New York, 1989.</w:t>
      </w:r>
    </w:p>
    <w:p w:rsidR="00FC2142" w:rsidRPr="00E73D68" w:rsidRDefault="00FC2142" w:rsidP="00FC2142">
      <w:pPr>
        <w:spacing w:before="160" w:line="360" w:lineRule="auto"/>
        <w:jc w:val="both"/>
        <w:rPr>
          <w:rFonts w:ascii="Arial" w:hAnsi="Arial" w:cs="Arial"/>
          <w:lang w:val="en-US"/>
        </w:rPr>
      </w:pPr>
      <w:proofErr w:type="spellStart"/>
      <w:r w:rsidRPr="003A2BCA">
        <w:rPr>
          <w:rFonts w:ascii="Arial" w:hAnsi="Arial" w:cs="Arial"/>
          <w:lang w:val="en-GB"/>
        </w:rPr>
        <w:t>Samanta</w:t>
      </w:r>
      <w:proofErr w:type="spellEnd"/>
      <w:r w:rsidRPr="003A2BCA">
        <w:rPr>
          <w:rFonts w:ascii="Arial" w:hAnsi="Arial" w:cs="Arial"/>
          <w:lang w:val="en-GB"/>
        </w:rPr>
        <w:t xml:space="preserve">, A., Chen, H., </w:t>
      </w:r>
      <w:proofErr w:type="spellStart"/>
      <w:r w:rsidRPr="003A2BCA">
        <w:rPr>
          <w:rFonts w:ascii="Arial" w:hAnsi="Arial" w:cs="Arial"/>
          <w:lang w:val="en-GB"/>
        </w:rPr>
        <w:t>Samanta</w:t>
      </w:r>
      <w:proofErr w:type="spellEnd"/>
      <w:r w:rsidRPr="003A2BCA">
        <w:rPr>
          <w:rFonts w:ascii="Arial" w:hAnsi="Arial" w:cs="Arial"/>
          <w:lang w:val="en-GB"/>
        </w:rPr>
        <w:t xml:space="preserve">, P., Popov, S., </w:t>
      </w:r>
      <w:proofErr w:type="spellStart"/>
      <w:r w:rsidRPr="003A2BCA">
        <w:rPr>
          <w:rFonts w:ascii="Arial" w:hAnsi="Arial" w:cs="Arial"/>
          <w:lang w:val="en-GB"/>
        </w:rPr>
        <w:t>Sychugov</w:t>
      </w:r>
      <w:proofErr w:type="spellEnd"/>
      <w:r w:rsidRPr="003A2BCA">
        <w:rPr>
          <w:rFonts w:ascii="Arial" w:hAnsi="Arial" w:cs="Arial"/>
          <w:lang w:val="en-GB"/>
        </w:rPr>
        <w:t xml:space="preserve">, I., &amp; Berglund, L. A. (2021). Reversible Dual-Stimuli-Responsive Chromic Transparent Wood </w:t>
      </w:r>
      <w:proofErr w:type="spellStart"/>
      <w:r w:rsidRPr="003A2BCA">
        <w:rPr>
          <w:rFonts w:ascii="Arial" w:hAnsi="Arial" w:cs="Arial"/>
          <w:lang w:val="en-GB"/>
        </w:rPr>
        <w:t>Biocomposites</w:t>
      </w:r>
      <w:proofErr w:type="spellEnd"/>
      <w:r w:rsidRPr="003A2BCA">
        <w:rPr>
          <w:rFonts w:ascii="Arial" w:hAnsi="Arial" w:cs="Arial"/>
          <w:lang w:val="en-GB"/>
        </w:rPr>
        <w:t xml:space="preserve"> for Smart Window Applications. </w:t>
      </w:r>
      <w:r w:rsidRPr="00E73D68">
        <w:rPr>
          <w:rFonts w:ascii="Arial" w:hAnsi="Arial" w:cs="Arial"/>
          <w:lang w:val="en-US"/>
        </w:rPr>
        <w:t>ACS Applied Materials &amp; Interfaces, 13(2), 3270-3277.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US"/>
        </w:rPr>
      </w:pPr>
      <w:r w:rsidRPr="003A2BCA">
        <w:rPr>
          <w:rFonts w:ascii="Arial" w:hAnsi="Arial" w:cs="Arial"/>
          <w:lang w:val="en-US"/>
        </w:rPr>
        <w:t xml:space="preserve">Xia, Q., Chen, C., Li, T., He, S., Gao, J., Wang, X., &amp; Hu, L. (2021). </w:t>
      </w:r>
      <w:r w:rsidRPr="003A2BCA">
        <w:rPr>
          <w:rFonts w:ascii="Arial" w:hAnsi="Arial" w:cs="Arial"/>
          <w:lang w:val="en-GB"/>
        </w:rPr>
        <w:t xml:space="preserve">Solar-assisted fabrication of large-scale, patternable transparent wood. </w:t>
      </w:r>
      <w:r w:rsidRPr="003A2BCA">
        <w:rPr>
          <w:rFonts w:ascii="Arial" w:hAnsi="Arial" w:cs="Arial"/>
          <w:lang w:val="en-US"/>
        </w:rPr>
        <w:t>Science Advances, 7(5), eabd7342.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</w:rPr>
      </w:pPr>
      <w:proofErr w:type="spellStart"/>
      <w:r w:rsidRPr="003A2BCA">
        <w:rPr>
          <w:rFonts w:ascii="Arial" w:hAnsi="Arial" w:cs="Arial"/>
          <w:lang w:val="en-US"/>
        </w:rPr>
        <w:t>Yaddanapudi</w:t>
      </w:r>
      <w:proofErr w:type="spellEnd"/>
      <w:r w:rsidRPr="003A2BCA">
        <w:rPr>
          <w:rFonts w:ascii="Arial" w:hAnsi="Arial" w:cs="Arial"/>
          <w:lang w:val="en-US"/>
        </w:rPr>
        <w:t xml:space="preserve">, H. S., Hickerson, N., Saini, S., &amp; Tiwari, A. (2017). Fabrication and characterization of transparent wood for next generation smart building applications. </w:t>
      </w:r>
      <w:proofErr w:type="spellStart"/>
      <w:r w:rsidRPr="003A2BCA">
        <w:rPr>
          <w:rFonts w:ascii="Arial" w:hAnsi="Arial" w:cs="Arial"/>
        </w:rPr>
        <w:t>Vacuum</w:t>
      </w:r>
      <w:proofErr w:type="spellEnd"/>
      <w:r w:rsidRPr="003A2BCA">
        <w:rPr>
          <w:rFonts w:ascii="Arial" w:hAnsi="Arial" w:cs="Arial"/>
        </w:rPr>
        <w:t>, 146, 649-654.</w:t>
      </w:r>
    </w:p>
    <w:p w:rsidR="00FC2142" w:rsidRPr="003A2BCA" w:rsidRDefault="00FC2142" w:rsidP="00FC2142">
      <w:pPr>
        <w:spacing w:before="160" w:line="360" w:lineRule="auto"/>
        <w:jc w:val="both"/>
        <w:rPr>
          <w:rFonts w:ascii="Arial" w:hAnsi="Arial" w:cs="Arial"/>
          <w:lang w:val="en-US"/>
        </w:rPr>
      </w:pPr>
      <w:r w:rsidRPr="003A2BCA">
        <w:rPr>
          <w:rFonts w:ascii="Arial" w:hAnsi="Arial" w:cs="Arial"/>
        </w:rPr>
        <w:lastRenderedPageBreak/>
        <w:t xml:space="preserve">Zhang, L., Wang, A., Zhu, T., Chen, Z., Wu, Y., &amp; Gao, Y. (2020). </w:t>
      </w:r>
      <w:r w:rsidRPr="003A2BCA">
        <w:rPr>
          <w:rFonts w:ascii="Arial" w:hAnsi="Arial" w:cs="Arial"/>
          <w:lang w:val="en-GB"/>
        </w:rPr>
        <w:t>Transparent wood composites fabricated by impregnation of epoxy Resin and W-Doped VO2 nanoparticles for application in energy-saving windows. ACS Applied Materials &amp; Interfaces, 12(31), 34777-34783</w:t>
      </w:r>
    </w:p>
    <w:p w:rsidR="00FC2142" w:rsidRPr="00FF3368" w:rsidRDefault="00FC2142" w:rsidP="00FC2142">
      <w:pPr>
        <w:spacing w:before="160" w:line="360" w:lineRule="auto"/>
        <w:jc w:val="both"/>
        <w:rPr>
          <w:rFonts w:ascii="Arial" w:hAnsi="Arial" w:cs="Arial"/>
        </w:rPr>
      </w:pPr>
      <w:r w:rsidRPr="009F7C83">
        <w:rPr>
          <w:rFonts w:ascii="Arial" w:hAnsi="Arial" w:cs="Arial"/>
          <w:lang w:val="en-GB"/>
        </w:rPr>
        <w:t xml:space="preserve">Zhu, M., Song, J., Li, T., Gong, A., Wang, Y., Dai, J., ... </w:t>
      </w:r>
      <w:r w:rsidRPr="003A2BCA">
        <w:rPr>
          <w:rFonts w:ascii="Arial" w:hAnsi="Arial" w:cs="Arial"/>
          <w:lang w:val="en-GB"/>
        </w:rPr>
        <w:t xml:space="preserve">&amp; Hu, L. (2016). Highly anisotropic, highly transparent wood composites. </w:t>
      </w:r>
      <w:proofErr w:type="spellStart"/>
      <w:r w:rsidRPr="00FF3368">
        <w:rPr>
          <w:rFonts w:ascii="Arial" w:hAnsi="Arial" w:cs="Arial"/>
          <w:i/>
          <w:iCs/>
        </w:rPr>
        <w:t>Advanced</w:t>
      </w:r>
      <w:proofErr w:type="spellEnd"/>
      <w:r w:rsidRPr="00FF3368">
        <w:rPr>
          <w:rFonts w:ascii="Arial" w:hAnsi="Arial" w:cs="Arial"/>
          <w:i/>
          <w:iCs/>
        </w:rPr>
        <w:t xml:space="preserve"> </w:t>
      </w:r>
      <w:proofErr w:type="spellStart"/>
      <w:r w:rsidRPr="00FF3368">
        <w:rPr>
          <w:rFonts w:ascii="Arial" w:hAnsi="Arial" w:cs="Arial"/>
          <w:i/>
          <w:iCs/>
        </w:rPr>
        <w:t>materials</w:t>
      </w:r>
      <w:proofErr w:type="spellEnd"/>
      <w:r w:rsidRPr="00FF3368">
        <w:rPr>
          <w:rFonts w:ascii="Arial" w:hAnsi="Arial" w:cs="Arial"/>
        </w:rPr>
        <w:t xml:space="preserve">, </w:t>
      </w:r>
      <w:r w:rsidRPr="00FF3368">
        <w:rPr>
          <w:rFonts w:ascii="Arial" w:hAnsi="Arial" w:cs="Arial"/>
          <w:i/>
          <w:iCs/>
        </w:rPr>
        <w:t>28</w:t>
      </w:r>
      <w:r w:rsidRPr="00FF3368">
        <w:rPr>
          <w:rFonts w:ascii="Arial" w:hAnsi="Arial" w:cs="Arial"/>
        </w:rPr>
        <w:t>(26), 5181-5187.</w:t>
      </w:r>
    </w:p>
    <w:p w:rsidR="00FC2142" w:rsidRDefault="00FC2142" w:rsidP="00FC2142"/>
    <w:p w:rsidR="00B54534" w:rsidRDefault="00B54534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Default="00A80EB9"/>
    <w:p w:rsidR="00A80EB9" w:rsidRPr="00A80EB9" w:rsidRDefault="00FF3368" w:rsidP="00FF3368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Erstellung dieses Unterrichtsmaterial erfolgte durch Tom Schüler im Rahmen seiner Masterarbeit an der Georg-August-Universität Göttingen und wurde von dem Fonds der chemischen Industrie gefördert. </w:t>
      </w:r>
      <w:bookmarkStart w:id="4" w:name="_GoBack"/>
      <w:bookmarkEnd w:id="4"/>
    </w:p>
    <w:sectPr w:rsidR="00A80EB9" w:rsidRPr="00A80EB9" w:rsidSect="003758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42"/>
    <w:rsid w:val="002A3886"/>
    <w:rsid w:val="003758E9"/>
    <w:rsid w:val="00A46160"/>
    <w:rsid w:val="00A80EB9"/>
    <w:rsid w:val="00B2721F"/>
    <w:rsid w:val="00B54534"/>
    <w:rsid w:val="00E73D68"/>
    <w:rsid w:val="00FC2142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C8F6"/>
  <w15:chartTrackingRefBased/>
  <w15:docId w15:val="{41FE8139-16DB-4769-B59F-C32C9216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C2142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C21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21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FC21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FC2142"/>
    <w:pPr>
      <w:spacing w:after="200" w:line="240" w:lineRule="auto"/>
      <w:jc w:val="both"/>
    </w:pPr>
    <w:rPr>
      <w:rFonts w:ascii="Cambria" w:hAnsi="Cambria"/>
      <w:i/>
      <w:iCs/>
      <w:color w:val="000000" w:themeColor="text1"/>
      <w:sz w:val="18"/>
      <w:szCs w:val="18"/>
    </w:rPr>
  </w:style>
  <w:style w:type="table" w:styleId="Tabellenraster">
    <w:name w:val="Table Grid"/>
    <w:basedOn w:val="NormaleTabelle"/>
    <w:uiPriority w:val="39"/>
    <w:rsid w:val="00FC214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FC21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character" w:styleId="Hyperlink">
    <w:name w:val="Hyperlink"/>
    <w:basedOn w:val="Absatz-Standardschriftart"/>
    <w:uiPriority w:val="99"/>
    <w:unhideWhenUsed/>
    <w:rsid w:val="00FC21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mmaass</dc:creator>
  <cp:keywords/>
  <dc:description/>
  <cp:lastModifiedBy>mmaass</cp:lastModifiedBy>
  <cp:revision>7</cp:revision>
  <dcterms:created xsi:type="dcterms:W3CDTF">2024-05-16T08:55:00Z</dcterms:created>
  <dcterms:modified xsi:type="dcterms:W3CDTF">2024-05-16T14:13:00Z</dcterms:modified>
</cp:coreProperties>
</file>